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F66D13D"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486F1D">
        <w:t>5</w:t>
      </w:r>
      <w:r w:rsidRPr="00CE0424">
        <w:tab/>
      </w:r>
      <w:r w:rsidR="00861B99">
        <w:t>R1-1813653</w:t>
      </w:r>
    </w:p>
    <w:p w14:paraId="51C3D3E7" w14:textId="4BCD36A8" w:rsidR="00E90E49" w:rsidRPr="00CE0424" w:rsidRDefault="00486F1D" w:rsidP="00311702">
      <w:pPr>
        <w:pStyle w:val="3GPPHeader"/>
      </w:pPr>
      <w:r>
        <w:t>Spokane</w:t>
      </w:r>
      <w:r w:rsidR="0027144F" w:rsidRPr="00CE0BF7">
        <w:t xml:space="preserve">, </w:t>
      </w:r>
      <w:r>
        <w:t>WA, US</w:t>
      </w:r>
      <w:r w:rsidR="0027144F" w:rsidRPr="00CE0BF7">
        <w:t xml:space="preserve">, </w:t>
      </w:r>
      <w:r>
        <w:t>November</w:t>
      </w:r>
      <w:r w:rsidR="00CE0BF7" w:rsidRPr="00CE0BF7">
        <w:t xml:space="preserve"> </w:t>
      </w:r>
      <w:r>
        <w:t>12</w:t>
      </w:r>
      <w:r w:rsidR="00FE7FD8">
        <w:rPr>
          <w:vertAlign w:val="superscript"/>
        </w:rPr>
        <w:t>th</w:t>
      </w:r>
      <w:r w:rsidR="00CE0BF7" w:rsidRPr="00CE0BF7">
        <w:t xml:space="preserve"> – </w:t>
      </w:r>
      <w:r w:rsidR="00BB10A7">
        <w:t>1</w:t>
      </w:r>
      <w:r>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363B749" w:rsidR="00E90E49" w:rsidRPr="001D5530" w:rsidRDefault="00E90E49" w:rsidP="00311702">
      <w:pPr>
        <w:pStyle w:val="3GPPHeader"/>
        <w:rPr>
          <w:sz w:val="22"/>
          <w:szCs w:val="22"/>
          <w:lang w:val="en-US"/>
        </w:rPr>
      </w:pPr>
      <w:r w:rsidRPr="001D5530">
        <w:rPr>
          <w:sz w:val="22"/>
          <w:szCs w:val="22"/>
          <w:lang w:val="en-US"/>
        </w:rPr>
        <w:t>Agenda Item:</w:t>
      </w:r>
      <w:r w:rsidRPr="001D5530">
        <w:rPr>
          <w:sz w:val="22"/>
          <w:szCs w:val="22"/>
          <w:lang w:val="en-US"/>
        </w:rPr>
        <w:tab/>
      </w:r>
      <w:r w:rsidR="002D2495" w:rsidRPr="001D5530">
        <w:rPr>
          <w:sz w:val="22"/>
          <w:szCs w:val="22"/>
          <w:lang w:val="en-US"/>
        </w:rPr>
        <w:t>7</w:t>
      </w:r>
      <w:r w:rsidR="00311702" w:rsidRPr="001D5530">
        <w:rPr>
          <w:sz w:val="22"/>
          <w:szCs w:val="22"/>
          <w:lang w:val="en-US"/>
        </w:rPr>
        <w:t>.</w:t>
      </w:r>
      <w:r w:rsidR="002D2495" w:rsidRPr="001D5530">
        <w:rPr>
          <w:sz w:val="22"/>
          <w:szCs w:val="22"/>
          <w:lang w:val="en-US"/>
        </w:rPr>
        <w:t>2</w:t>
      </w:r>
      <w:r w:rsidR="00311702" w:rsidRPr="001D5530">
        <w:rPr>
          <w:sz w:val="22"/>
          <w:szCs w:val="22"/>
          <w:lang w:val="en-US"/>
        </w:rPr>
        <w:t>.</w:t>
      </w:r>
      <w:r w:rsidR="002D2495" w:rsidRPr="001D5530">
        <w:rPr>
          <w:sz w:val="22"/>
          <w:szCs w:val="22"/>
          <w:lang w:val="en-US"/>
        </w:rPr>
        <w:t>4</w:t>
      </w:r>
      <w:r w:rsidR="00311702" w:rsidRPr="001D5530">
        <w:rPr>
          <w:sz w:val="22"/>
          <w:szCs w:val="22"/>
          <w:lang w:val="en-US"/>
        </w:rPr>
        <w:t>.</w:t>
      </w:r>
      <w:r w:rsidR="002D2495" w:rsidRPr="001D553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BD82B19" w:rsidR="00E90E49" w:rsidRPr="00CE0424" w:rsidRDefault="003D3C45" w:rsidP="00311702">
      <w:pPr>
        <w:pStyle w:val="3GPPHeader"/>
        <w:rPr>
          <w:sz w:val="22"/>
          <w:szCs w:val="22"/>
        </w:rPr>
      </w:pPr>
      <w:r>
        <w:rPr>
          <w:sz w:val="22"/>
          <w:szCs w:val="22"/>
        </w:rPr>
        <w:t>Title:</w:t>
      </w:r>
      <w:r w:rsidR="00E90E49" w:rsidRPr="00CE0424">
        <w:rPr>
          <w:sz w:val="22"/>
          <w:szCs w:val="22"/>
        </w:rPr>
        <w:tab/>
      </w:r>
      <w:r w:rsidR="002D2495">
        <w:rPr>
          <w:sz w:val="22"/>
          <w:szCs w:val="22"/>
        </w:rPr>
        <w:t xml:space="preserve">On </w:t>
      </w:r>
      <w:r w:rsidR="002D2495" w:rsidRPr="002D2495">
        <w:rPr>
          <w:sz w:val="22"/>
          <w:szCs w:val="22"/>
        </w:rPr>
        <w:t>coexistence for SL V2X</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D2495">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5E740F63" w14:textId="0570C0B2" w:rsidR="003B5B63" w:rsidRPr="005D66A0" w:rsidRDefault="003B5B63" w:rsidP="003B5B63">
      <w:pPr>
        <w:pStyle w:val="BodyText"/>
      </w:pPr>
      <w:r w:rsidRPr="005D66A0">
        <w:t>RAN plenary #80 approved a study item on NR V2X</w:t>
      </w:r>
      <w:r>
        <w:t xml:space="preserve"> </w:t>
      </w:r>
      <w:r>
        <w:fldChar w:fldCharType="begin"/>
      </w:r>
      <w:r>
        <w:instrText xml:space="preserve"> REF _Ref525898183 \r \h </w:instrText>
      </w:r>
      <w:r>
        <w:fldChar w:fldCharType="separate"/>
      </w:r>
      <w:r w:rsidR="00E2668A">
        <w:t>[1]</w:t>
      </w:r>
      <w:r>
        <w:fldChar w:fldCharType="end"/>
      </w:r>
      <w:r>
        <w:t xml:space="preserve"> </w:t>
      </w:r>
      <w:r w:rsidRPr="005D66A0">
        <w:t>. This study item targets, among other objectives, the mechanisms for coexistence of NR V2X, detailed as below:</w:t>
      </w:r>
    </w:p>
    <w:tbl>
      <w:tblPr>
        <w:tblStyle w:val="TableGrid"/>
        <w:tblW w:w="0" w:type="auto"/>
        <w:tblInd w:w="45" w:type="dxa"/>
        <w:tblLook w:val="04A0" w:firstRow="1" w:lastRow="0" w:firstColumn="1" w:lastColumn="0" w:noHBand="0" w:noVBand="1"/>
      </w:tblPr>
      <w:tblGrid>
        <w:gridCol w:w="9584"/>
      </w:tblGrid>
      <w:tr w:rsidR="003B5B63" w:rsidRPr="002D2495" w14:paraId="18FC9F4E" w14:textId="77777777" w:rsidTr="0047049F">
        <w:tc>
          <w:tcPr>
            <w:tcW w:w="9629" w:type="dxa"/>
          </w:tcPr>
          <w:p w14:paraId="257F24E7" w14:textId="77777777" w:rsidR="003B5B63" w:rsidRPr="002D2495" w:rsidRDefault="003B5B63" w:rsidP="0047049F">
            <w:pPr>
              <w:ind w:left="45"/>
              <w:rPr>
                <w:rFonts w:ascii="Times" w:hAnsi="Times" w:cs="Times"/>
                <w:lang w:val="en-US" w:eastAsia="ko-KR"/>
              </w:rPr>
            </w:pPr>
            <w:r w:rsidRPr="002D2495">
              <w:rPr>
                <w:rFonts w:ascii="Times" w:hAnsi="Times" w:cs="Times"/>
                <w:b/>
                <w:bCs/>
                <w:lang w:val="en-US" w:eastAsia="ko-KR"/>
              </w:rPr>
              <w:t>Coexistence [RAN1]:</w:t>
            </w:r>
            <w:r w:rsidRPr="002D2495">
              <w:rPr>
                <w:rFonts w:ascii="Times" w:hAnsi="Times" w:cs="Times"/>
                <w:lang w:val="en-US" w:eastAsia="ko-KR"/>
              </w:rPr>
              <w:t xml:space="preserve">  </w:t>
            </w:r>
          </w:p>
          <w:p w14:paraId="19B786E4" w14:textId="77777777" w:rsidR="003B5B63" w:rsidRPr="002D2495" w:rsidRDefault="003B5B63" w:rsidP="0047049F">
            <w:pPr>
              <w:pStyle w:val="ListParagraph"/>
              <w:numPr>
                <w:ilvl w:val="0"/>
                <w:numId w:val="25"/>
              </w:numPr>
              <w:overflowPunct/>
              <w:autoSpaceDE/>
              <w:autoSpaceDN/>
              <w:adjustRightInd/>
              <w:spacing w:line="259" w:lineRule="auto"/>
              <w:contextualSpacing/>
              <w:jc w:val="both"/>
              <w:textAlignment w:val="auto"/>
              <w:rPr>
                <w:rFonts w:ascii="Times" w:hAnsi="Times" w:cs="Times"/>
                <w:lang w:val="en-US"/>
              </w:rPr>
            </w:pPr>
            <w:r w:rsidRPr="002D2495">
              <w:rPr>
                <w:rFonts w:ascii="Times" w:hAnsi="Times" w:cs="Times"/>
                <w:lang w:val="en-US" w:eastAsia="ko-KR"/>
              </w:rPr>
              <w:t xml:space="preserve">In-device coexistence: Study </w:t>
            </w:r>
            <w:r w:rsidRPr="002D2495">
              <w:rPr>
                <w:rFonts w:ascii="Times" w:hAnsi="Times" w:cs="Times"/>
                <w:lang w:val="en-US" w:eastAsia="zh-CN"/>
              </w:rPr>
              <w:t xml:space="preserve">the feasibility of the coexistence </w:t>
            </w:r>
            <w:r w:rsidRPr="002D2495">
              <w:rPr>
                <w:rFonts w:ascii="Times" w:hAnsi="Times" w:cs="Times"/>
                <w:lang w:val="en-US" w:eastAsia="ko-KR"/>
              </w:rPr>
              <w:t>mechanisms</w:t>
            </w:r>
            <w:r w:rsidRPr="002D2495">
              <w:rPr>
                <w:rFonts w:ascii="Times" w:hAnsi="Times" w:cs="Times"/>
                <w:lang w:val="en-US" w:eastAsia="zh-CN"/>
              </w:rPr>
              <w:t xml:space="preserve"> when NR </w:t>
            </w:r>
            <w:proofErr w:type="spellStart"/>
            <w:r w:rsidRPr="002D2495">
              <w:rPr>
                <w:rFonts w:ascii="Times" w:hAnsi="Times" w:cs="Times"/>
                <w:lang w:val="en-US" w:eastAsia="zh-CN"/>
              </w:rPr>
              <w:t>sidelink</w:t>
            </w:r>
            <w:proofErr w:type="spellEnd"/>
            <w:r w:rsidRPr="002D2495">
              <w:rPr>
                <w:rFonts w:ascii="Times" w:hAnsi="Times" w:cs="Times"/>
                <w:lang w:val="en-US" w:eastAsia="zh-CN"/>
              </w:rPr>
              <w:t xml:space="preserve"> and LTE </w:t>
            </w:r>
            <w:proofErr w:type="spellStart"/>
            <w:r w:rsidRPr="002D2495">
              <w:rPr>
                <w:rFonts w:ascii="Times" w:hAnsi="Times" w:cs="Times"/>
                <w:lang w:val="en-US" w:eastAsia="zh-CN"/>
              </w:rPr>
              <w:t>sidelink</w:t>
            </w:r>
            <w:proofErr w:type="spellEnd"/>
            <w:r w:rsidRPr="002D2495">
              <w:rPr>
                <w:rFonts w:ascii="Times" w:hAnsi="Times" w:cs="Times"/>
                <w:lang w:val="en-US" w:eastAsia="zh-CN"/>
              </w:rPr>
              <w:t xml:space="preserve"> technologies are equipped in the same vehicle for the ‘not co-channel’ scenario</w:t>
            </w:r>
            <w:r w:rsidRPr="002D2495">
              <w:rPr>
                <w:rFonts w:ascii="Times" w:hAnsi="Times" w:cs="Times"/>
                <w:lang w:val="en-US"/>
              </w:rPr>
              <w:t xml:space="preserve">: </w:t>
            </w:r>
          </w:p>
          <w:p w14:paraId="30BE8B8E" w14:textId="77777777" w:rsidR="003B5B63" w:rsidRPr="002D2495" w:rsidRDefault="003B5B63" w:rsidP="0047049F">
            <w:pPr>
              <w:pStyle w:val="ListParagraph"/>
              <w:numPr>
                <w:ilvl w:val="0"/>
                <w:numId w:val="25"/>
              </w:numPr>
              <w:overflowPunct/>
              <w:autoSpaceDE/>
              <w:autoSpaceDN/>
              <w:adjustRightInd/>
              <w:spacing w:line="259" w:lineRule="auto"/>
              <w:contextualSpacing/>
              <w:jc w:val="both"/>
              <w:textAlignment w:val="auto"/>
              <w:rPr>
                <w:rFonts w:ascii="Times" w:hAnsi="Times" w:cs="Times"/>
                <w:b/>
                <w:bCs/>
                <w:i/>
                <w:lang w:val="en-US" w:eastAsia="ko-KR"/>
              </w:rPr>
            </w:pPr>
            <w:r w:rsidRPr="002D2495">
              <w:rPr>
                <w:rFonts w:ascii="Times" w:hAnsi="Times" w:cs="Times"/>
                <w:lang w:val="en-US"/>
              </w:rPr>
              <w:t xml:space="preserve">Advanced V2X services provided by NR </w:t>
            </w:r>
            <w:proofErr w:type="spellStart"/>
            <w:r w:rsidRPr="002D2495">
              <w:rPr>
                <w:rFonts w:ascii="Times" w:hAnsi="Times" w:cs="Times"/>
                <w:lang w:val="en-US"/>
              </w:rPr>
              <w:t>sidelink</w:t>
            </w:r>
            <w:proofErr w:type="spellEnd"/>
            <w:r w:rsidRPr="002D2495">
              <w:rPr>
                <w:rFonts w:ascii="Times" w:hAnsi="Times" w:cs="Times"/>
                <w:lang w:val="en-US"/>
              </w:rPr>
              <w:t xml:space="preserve"> coexisting with V2X service provided by LTE </w:t>
            </w:r>
            <w:proofErr w:type="spellStart"/>
            <w:r w:rsidRPr="002D2495">
              <w:rPr>
                <w:rFonts w:ascii="Times" w:hAnsi="Times" w:cs="Times"/>
                <w:lang w:val="en-US"/>
              </w:rPr>
              <w:t>sidelink</w:t>
            </w:r>
            <w:proofErr w:type="spellEnd"/>
            <w:r w:rsidRPr="002D2495">
              <w:rPr>
                <w:rFonts w:ascii="Times" w:hAnsi="Times" w:cs="Times"/>
                <w:lang w:val="en-US"/>
              </w:rPr>
              <w:t xml:space="preserve"> in different channels (i.e., not co-channel).  Not co-channel could include both adjacent channel and channels that are sufficiently far apart.</w:t>
            </w:r>
          </w:p>
        </w:tc>
      </w:tr>
    </w:tbl>
    <w:p w14:paraId="34114F5F" w14:textId="01D17371" w:rsidR="003B5B63" w:rsidRDefault="003B5B63" w:rsidP="00CE0424">
      <w:pPr>
        <w:pStyle w:val="BodyText"/>
      </w:pPr>
    </w:p>
    <w:p w14:paraId="7C48702B" w14:textId="39F01A7C" w:rsidR="00477768" w:rsidRDefault="003B5B63" w:rsidP="00CE0424">
      <w:pPr>
        <w:pStyle w:val="BodyText"/>
      </w:pPr>
      <w:r>
        <w:t>So far</w:t>
      </w:r>
      <w:r w:rsidR="00ED5CD7">
        <w:t>,</w:t>
      </w:r>
      <w:r>
        <w:t xml:space="preserve"> the discussions in RAN1 have </w:t>
      </w:r>
      <w:r w:rsidR="002D2495">
        <w:t xml:space="preserve">mainly </w:t>
      </w:r>
      <w:r>
        <w:t xml:space="preserve">focused on the in-device coexistence topic. </w:t>
      </w:r>
      <w:r w:rsidR="002D2495">
        <w:t>Most recently</w:t>
      </w:r>
      <w:r>
        <w:t>, RAN1#94-bis has made the following agreements regarding in-device coexistence:</w:t>
      </w:r>
    </w:p>
    <w:tbl>
      <w:tblPr>
        <w:tblStyle w:val="TableGrid"/>
        <w:tblW w:w="0" w:type="auto"/>
        <w:tblLook w:val="04A0" w:firstRow="1" w:lastRow="0" w:firstColumn="1" w:lastColumn="0" w:noHBand="0" w:noVBand="1"/>
      </w:tblPr>
      <w:tblGrid>
        <w:gridCol w:w="9629"/>
      </w:tblGrid>
      <w:tr w:rsidR="003B5B63" w:rsidRPr="002D2495" w14:paraId="3E473F1E" w14:textId="77777777" w:rsidTr="003B5B63">
        <w:tc>
          <w:tcPr>
            <w:tcW w:w="9629" w:type="dxa"/>
          </w:tcPr>
          <w:p w14:paraId="6CB0BEE1" w14:textId="77777777" w:rsidR="003B5B63" w:rsidRPr="002D2495" w:rsidRDefault="003B5B63" w:rsidP="003B5B63">
            <w:pPr>
              <w:rPr>
                <w:rFonts w:ascii="Times" w:hAnsi="Times" w:cs="Times"/>
                <w:lang w:eastAsia="x-none"/>
              </w:rPr>
            </w:pPr>
            <w:r w:rsidRPr="002D2495">
              <w:rPr>
                <w:rFonts w:ascii="Times" w:hAnsi="Times" w:cs="Times"/>
                <w:highlight w:val="green"/>
                <w:lang w:eastAsia="x-none"/>
              </w:rPr>
              <w:t>Agreements</w:t>
            </w:r>
            <w:r w:rsidRPr="002D2495">
              <w:rPr>
                <w:rFonts w:ascii="Times" w:hAnsi="Times" w:cs="Times"/>
                <w:lang w:eastAsia="x-none"/>
              </w:rPr>
              <w:t>:</w:t>
            </w:r>
          </w:p>
          <w:p w14:paraId="53979DA5" w14:textId="77777777" w:rsidR="003B5B63" w:rsidRPr="00861B99" w:rsidRDefault="003B5B63" w:rsidP="003B5B63">
            <w:pPr>
              <w:numPr>
                <w:ilvl w:val="0"/>
                <w:numId w:val="23"/>
              </w:numPr>
              <w:overflowPunct/>
              <w:autoSpaceDE/>
              <w:autoSpaceDN/>
              <w:adjustRightInd/>
              <w:spacing w:after="0"/>
              <w:textAlignment w:val="auto"/>
              <w:rPr>
                <w:rFonts w:ascii="Times" w:hAnsi="Times" w:cs="Times"/>
                <w:lang w:val="en-US"/>
              </w:rPr>
            </w:pPr>
            <w:r w:rsidRPr="00861B99">
              <w:rPr>
                <w:rFonts w:ascii="Times" w:hAnsi="Times" w:cs="Times"/>
                <w:lang w:val="en-US"/>
              </w:rPr>
              <w:t xml:space="preserve">In the context of in-device coexistence between NR and LTE V2X </w:t>
            </w:r>
            <w:proofErr w:type="spellStart"/>
            <w:r w:rsidRPr="00861B99">
              <w:rPr>
                <w:rFonts w:ascii="Times" w:hAnsi="Times" w:cs="Times"/>
                <w:lang w:val="en-US"/>
              </w:rPr>
              <w:t>sidelinks</w:t>
            </w:r>
            <w:proofErr w:type="spellEnd"/>
            <w:r w:rsidRPr="00861B99">
              <w:rPr>
                <w:rFonts w:ascii="Times" w:hAnsi="Times" w:cs="Times"/>
                <w:lang w:val="en-US"/>
              </w:rPr>
              <w:t xml:space="preserve"> (not co-channel), </w:t>
            </w:r>
          </w:p>
          <w:p w14:paraId="7A87AFF5" w14:textId="77777777" w:rsidR="003B5B63" w:rsidRPr="00861B99" w:rsidRDefault="003B5B63" w:rsidP="003B5B63">
            <w:pPr>
              <w:numPr>
                <w:ilvl w:val="2"/>
                <w:numId w:val="23"/>
              </w:numPr>
              <w:overflowPunct/>
              <w:autoSpaceDE/>
              <w:autoSpaceDN/>
              <w:adjustRightInd/>
              <w:spacing w:after="0"/>
              <w:textAlignment w:val="auto"/>
              <w:rPr>
                <w:rFonts w:ascii="Times" w:hAnsi="Times" w:cs="Times"/>
                <w:lang w:val="en-US"/>
              </w:rPr>
            </w:pPr>
            <w:r w:rsidRPr="00861B99">
              <w:rPr>
                <w:rFonts w:ascii="Times" w:hAnsi="Times" w:cs="Times"/>
                <w:lang w:val="en-US"/>
              </w:rPr>
              <w:t xml:space="preserve">TDM solutions are those that prevent overlapping or simultaneous NR and LTE V2X </w:t>
            </w:r>
            <w:proofErr w:type="spellStart"/>
            <w:r w:rsidRPr="00861B99">
              <w:rPr>
                <w:rFonts w:ascii="Times" w:hAnsi="Times" w:cs="Times"/>
                <w:lang w:val="en-US"/>
              </w:rPr>
              <w:t>sidelink</w:t>
            </w:r>
            <w:proofErr w:type="spellEnd"/>
            <w:r w:rsidRPr="00861B99">
              <w:rPr>
                <w:rFonts w:ascii="Times" w:hAnsi="Times" w:cs="Times"/>
                <w:lang w:val="en-US"/>
              </w:rPr>
              <w:t xml:space="preserve"> transmissions.</w:t>
            </w:r>
          </w:p>
          <w:p w14:paraId="42765539" w14:textId="77777777" w:rsidR="003B5B63" w:rsidRPr="00861B99" w:rsidRDefault="003B5B63" w:rsidP="003B5B63">
            <w:pPr>
              <w:numPr>
                <w:ilvl w:val="2"/>
                <w:numId w:val="23"/>
              </w:numPr>
              <w:overflowPunct/>
              <w:autoSpaceDE/>
              <w:autoSpaceDN/>
              <w:adjustRightInd/>
              <w:spacing w:after="0"/>
              <w:textAlignment w:val="auto"/>
              <w:rPr>
                <w:rFonts w:ascii="Times" w:hAnsi="Times" w:cs="Times"/>
                <w:lang w:val="en-US"/>
              </w:rPr>
            </w:pPr>
            <w:r w:rsidRPr="00861B99">
              <w:rPr>
                <w:rFonts w:ascii="Times" w:hAnsi="Times" w:cs="Times"/>
                <w:lang w:val="en-US"/>
              </w:rPr>
              <w:t xml:space="preserve">FDM solutions are those that involve simultaneous transmissions of NR and LTE V2X </w:t>
            </w:r>
            <w:proofErr w:type="spellStart"/>
            <w:r w:rsidRPr="00861B99">
              <w:rPr>
                <w:rFonts w:ascii="Times" w:hAnsi="Times" w:cs="Times"/>
                <w:lang w:val="en-US"/>
              </w:rPr>
              <w:t>sidelink</w:t>
            </w:r>
            <w:proofErr w:type="spellEnd"/>
            <w:r w:rsidRPr="00861B99">
              <w:rPr>
                <w:rFonts w:ascii="Times" w:hAnsi="Times" w:cs="Times"/>
                <w:lang w:val="en-US"/>
              </w:rPr>
              <w:t xml:space="preserve"> transmissions and defining mechanisms for sharing the total device power between the two.</w:t>
            </w:r>
          </w:p>
          <w:p w14:paraId="50B03210" w14:textId="77777777" w:rsidR="003B5B63" w:rsidRPr="002D2495" w:rsidRDefault="003B5B63" w:rsidP="003B5B63">
            <w:pPr>
              <w:rPr>
                <w:rFonts w:ascii="Times" w:hAnsi="Times" w:cs="Times"/>
                <w:lang w:eastAsia="x-none"/>
              </w:rPr>
            </w:pPr>
            <w:r w:rsidRPr="002D2495">
              <w:rPr>
                <w:rFonts w:ascii="Times" w:hAnsi="Times" w:cs="Times"/>
                <w:highlight w:val="green"/>
                <w:lang w:eastAsia="x-none"/>
              </w:rPr>
              <w:t>Agreements</w:t>
            </w:r>
            <w:r w:rsidRPr="002D2495">
              <w:rPr>
                <w:rFonts w:ascii="Times" w:hAnsi="Times" w:cs="Times"/>
                <w:lang w:eastAsia="x-none"/>
              </w:rPr>
              <w:t>:</w:t>
            </w:r>
          </w:p>
          <w:p w14:paraId="127D7F29" w14:textId="77777777" w:rsidR="003B5B63" w:rsidRPr="002D2495" w:rsidRDefault="003B5B63" w:rsidP="003B5B63">
            <w:pPr>
              <w:pStyle w:val="ListParagraph"/>
              <w:numPr>
                <w:ilvl w:val="0"/>
                <w:numId w:val="24"/>
              </w:numPr>
              <w:overflowPunct/>
              <w:autoSpaceDE/>
              <w:autoSpaceDN/>
              <w:adjustRightInd/>
              <w:spacing w:after="180"/>
              <w:contextualSpacing/>
              <w:textAlignment w:val="auto"/>
              <w:rPr>
                <w:rFonts w:ascii="Times" w:hAnsi="Times" w:cs="Times"/>
              </w:rPr>
            </w:pPr>
            <w:r w:rsidRPr="002D2495">
              <w:rPr>
                <w:rFonts w:ascii="Times" w:hAnsi="Times" w:cs="Times"/>
              </w:rPr>
              <w:t xml:space="preserve">For TDM solutions, LTE and NR V2X </w:t>
            </w:r>
            <w:proofErr w:type="spellStart"/>
            <w:r w:rsidRPr="002D2495">
              <w:rPr>
                <w:rFonts w:ascii="Times" w:hAnsi="Times" w:cs="Times"/>
              </w:rPr>
              <w:t>sidelinks</w:t>
            </w:r>
            <w:proofErr w:type="spellEnd"/>
            <w:r w:rsidRPr="002D2495">
              <w:rPr>
                <w:rFonts w:ascii="Times" w:hAnsi="Times" w:cs="Times"/>
              </w:rPr>
              <w:t xml:space="preserve"> are assumed to be synchronized </w:t>
            </w:r>
          </w:p>
          <w:p w14:paraId="7383F838" w14:textId="77777777"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rPr>
            </w:pPr>
            <w:r w:rsidRPr="002D2495">
              <w:rPr>
                <w:rFonts w:ascii="Times" w:hAnsi="Times" w:cs="Times"/>
              </w:rPr>
              <w:t>FFS accuracy of time alignment/synchronization</w:t>
            </w:r>
          </w:p>
          <w:p w14:paraId="28D6829E" w14:textId="77777777"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rPr>
            </w:pPr>
            <w:r w:rsidRPr="002D2495">
              <w:rPr>
                <w:rFonts w:ascii="Times" w:hAnsi="Times" w:cs="Times"/>
              </w:rPr>
              <w:t>FFS alignment whether slot level and/or DFN based alignment is needed</w:t>
            </w:r>
          </w:p>
          <w:p w14:paraId="485DAE0E" w14:textId="77777777" w:rsidR="003B5B63" w:rsidRPr="002D2495" w:rsidRDefault="003B5B63" w:rsidP="003B5B63">
            <w:pPr>
              <w:pStyle w:val="ListParagraph"/>
              <w:spacing w:after="180"/>
              <w:contextualSpacing/>
              <w:rPr>
                <w:rFonts w:ascii="Times" w:hAnsi="Times" w:cs="Times"/>
              </w:rPr>
            </w:pPr>
          </w:p>
          <w:p w14:paraId="4CEB33F0" w14:textId="77777777" w:rsidR="003B5B63" w:rsidRPr="002D2495" w:rsidRDefault="003B5B63" w:rsidP="003B5B63">
            <w:pPr>
              <w:contextualSpacing/>
              <w:rPr>
                <w:rFonts w:ascii="Times" w:hAnsi="Times" w:cs="Times"/>
              </w:rPr>
            </w:pPr>
            <w:r w:rsidRPr="002D2495">
              <w:rPr>
                <w:rFonts w:ascii="Times" w:hAnsi="Times" w:cs="Times"/>
                <w:highlight w:val="green"/>
              </w:rPr>
              <w:t>Agreements</w:t>
            </w:r>
            <w:r w:rsidRPr="002D2495">
              <w:rPr>
                <w:rFonts w:ascii="Times" w:hAnsi="Times" w:cs="Times"/>
              </w:rPr>
              <w:t>:</w:t>
            </w:r>
          </w:p>
          <w:p w14:paraId="76346AC1" w14:textId="77777777" w:rsidR="003B5B63" w:rsidRPr="002D2495" w:rsidRDefault="003B5B63" w:rsidP="003B5B63">
            <w:pPr>
              <w:pStyle w:val="ListParagraph"/>
              <w:numPr>
                <w:ilvl w:val="0"/>
                <w:numId w:val="24"/>
              </w:numPr>
              <w:overflowPunct/>
              <w:autoSpaceDE/>
              <w:autoSpaceDN/>
              <w:adjustRightInd/>
              <w:spacing w:after="180"/>
              <w:contextualSpacing/>
              <w:textAlignment w:val="auto"/>
              <w:rPr>
                <w:rFonts w:ascii="Times" w:hAnsi="Times" w:cs="Times"/>
              </w:rPr>
            </w:pPr>
            <w:r w:rsidRPr="002D2495">
              <w:rPr>
                <w:rFonts w:ascii="Times" w:hAnsi="Times" w:cs="Times"/>
              </w:rPr>
              <w:t xml:space="preserve">For TDM solutions, the following aspects are studied in RAN1: </w:t>
            </w:r>
          </w:p>
          <w:p w14:paraId="53F075E2" w14:textId="77777777"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t>Long term time-scale coordination</w:t>
            </w:r>
          </w:p>
          <w:p w14:paraId="4AE73E09" w14:textId="77777777" w:rsidR="003B5B63" w:rsidRPr="002D2495" w:rsidRDefault="003B5B63" w:rsidP="003B5B63">
            <w:pPr>
              <w:pStyle w:val="ListParagraph"/>
              <w:numPr>
                <w:ilvl w:val="2"/>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t>Potential transmissions in time of LTE and NR V2X are statically/quasi-statically determined</w:t>
            </w:r>
          </w:p>
          <w:p w14:paraId="2443BE6E" w14:textId="77777777" w:rsidR="003B5B63" w:rsidRPr="002D2495" w:rsidRDefault="003B5B63" w:rsidP="003B5B63">
            <w:pPr>
              <w:pStyle w:val="ListParagraph"/>
              <w:numPr>
                <w:ilvl w:val="2"/>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t xml:space="preserve">UE </w:t>
            </w:r>
            <w:proofErr w:type="spellStart"/>
            <w:r w:rsidRPr="002D2495">
              <w:rPr>
                <w:rFonts w:ascii="Times" w:hAnsi="Times" w:cs="Times"/>
                <w:lang w:eastAsia="zh-CN"/>
              </w:rPr>
              <w:t>behaviour</w:t>
            </w:r>
            <w:proofErr w:type="spellEnd"/>
            <w:r w:rsidRPr="002D2495">
              <w:rPr>
                <w:rFonts w:ascii="Times" w:hAnsi="Times" w:cs="Times"/>
                <w:lang w:eastAsia="zh-CN"/>
              </w:rPr>
              <w:t xml:space="preserve"> when LTE and NR V2X </w:t>
            </w:r>
            <w:proofErr w:type="spellStart"/>
            <w:r w:rsidRPr="002D2495">
              <w:rPr>
                <w:rFonts w:ascii="Times" w:hAnsi="Times" w:cs="Times"/>
                <w:lang w:eastAsia="zh-CN"/>
              </w:rPr>
              <w:t>sidelink</w:t>
            </w:r>
            <w:proofErr w:type="spellEnd"/>
            <w:r w:rsidRPr="002D2495">
              <w:rPr>
                <w:rFonts w:ascii="Times" w:hAnsi="Times" w:cs="Times"/>
                <w:lang w:eastAsia="zh-CN"/>
              </w:rPr>
              <w:t xml:space="preserve"> transmissions overlap in time is FFS</w:t>
            </w:r>
          </w:p>
          <w:p w14:paraId="55ED4FA9" w14:textId="77777777"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t>Short time-scale coordination</w:t>
            </w:r>
          </w:p>
          <w:p w14:paraId="0C15EE19" w14:textId="77777777" w:rsidR="003B5B63" w:rsidRPr="002D2495" w:rsidRDefault="003B5B63" w:rsidP="003B5B63">
            <w:pPr>
              <w:pStyle w:val="ListParagraph"/>
              <w:numPr>
                <w:ilvl w:val="2"/>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t>Transmissions in time of LTE and NR V2X are known to each RAT (details FFS)</w:t>
            </w:r>
          </w:p>
          <w:p w14:paraId="405BF78B" w14:textId="77777777" w:rsidR="003B5B63" w:rsidRPr="002D2495" w:rsidRDefault="003B5B63" w:rsidP="003B5B63">
            <w:pPr>
              <w:pStyle w:val="ListParagraph"/>
              <w:numPr>
                <w:ilvl w:val="2"/>
                <w:numId w:val="24"/>
              </w:numPr>
              <w:overflowPunct/>
              <w:autoSpaceDE/>
              <w:autoSpaceDN/>
              <w:adjustRightInd/>
              <w:spacing w:after="180"/>
              <w:contextualSpacing/>
              <w:textAlignment w:val="auto"/>
              <w:rPr>
                <w:rFonts w:ascii="Times" w:hAnsi="Times" w:cs="Times"/>
                <w:lang w:eastAsia="zh-CN"/>
              </w:rPr>
            </w:pPr>
            <w:r w:rsidRPr="002D2495">
              <w:rPr>
                <w:rFonts w:ascii="Times" w:hAnsi="Times" w:cs="Times"/>
                <w:lang w:eastAsia="zh-CN"/>
              </w:rPr>
              <w:lastRenderedPageBreak/>
              <w:t xml:space="preserve">UE </w:t>
            </w:r>
            <w:proofErr w:type="spellStart"/>
            <w:r w:rsidRPr="002D2495">
              <w:rPr>
                <w:rFonts w:ascii="Times" w:hAnsi="Times" w:cs="Times"/>
                <w:lang w:eastAsia="zh-CN"/>
              </w:rPr>
              <w:t>behaviour</w:t>
            </w:r>
            <w:proofErr w:type="spellEnd"/>
            <w:r w:rsidRPr="002D2495">
              <w:rPr>
                <w:rFonts w:ascii="Times" w:hAnsi="Times" w:cs="Times"/>
                <w:lang w:eastAsia="zh-CN"/>
              </w:rPr>
              <w:t xml:space="preserve"> when LTE and NR V2X </w:t>
            </w:r>
            <w:proofErr w:type="spellStart"/>
            <w:r w:rsidRPr="002D2495">
              <w:rPr>
                <w:rFonts w:ascii="Times" w:hAnsi="Times" w:cs="Times"/>
                <w:lang w:eastAsia="zh-CN"/>
              </w:rPr>
              <w:t>sidelink</w:t>
            </w:r>
            <w:proofErr w:type="spellEnd"/>
            <w:r w:rsidRPr="002D2495">
              <w:rPr>
                <w:rFonts w:ascii="Times" w:hAnsi="Times" w:cs="Times"/>
                <w:lang w:eastAsia="zh-CN"/>
              </w:rPr>
              <w:t xml:space="preserve"> transmissions overlap in time is FFS</w:t>
            </w:r>
          </w:p>
          <w:p w14:paraId="23346DC2" w14:textId="61518AAE"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rPr>
            </w:pPr>
            <w:r w:rsidRPr="002D2495">
              <w:rPr>
                <w:rFonts w:ascii="Times" w:hAnsi="Times" w:cs="Times"/>
                <w:lang w:eastAsia="zh-CN"/>
              </w:rPr>
              <w:t>FFS coordination details</w:t>
            </w:r>
          </w:p>
          <w:p w14:paraId="7E9892DE" w14:textId="7C32263B" w:rsidR="003B5B63" w:rsidRPr="002D2495" w:rsidRDefault="003B5B63" w:rsidP="003B5B63">
            <w:pPr>
              <w:pStyle w:val="ListParagraph"/>
              <w:numPr>
                <w:ilvl w:val="1"/>
                <w:numId w:val="24"/>
              </w:numPr>
              <w:overflowPunct/>
              <w:autoSpaceDE/>
              <w:autoSpaceDN/>
              <w:adjustRightInd/>
              <w:spacing w:after="180"/>
              <w:contextualSpacing/>
              <w:textAlignment w:val="auto"/>
              <w:rPr>
                <w:rFonts w:ascii="Times" w:hAnsi="Times" w:cs="Times"/>
              </w:rPr>
            </w:pPr>
            <w:r w:rsidRPr="002D2495">
              <w:rPr>
                <w:rFonts w:ascii="Times" w:hAnsi="Times" w:cs="Times"/>
              </w:rPr>
              <w:t>FFS UE assistance for coordination</w:t>
            </w:r>
          </w:p>
        </w:tc>
      </w:tr>
    </w:tbl>
    <w:p w14:paraId="5ECA2921" w14:textId="2AF196F4" w:rsidR="003B5B63" w:rsidRDefault="003B5B63" w:rsidP="00CE0424">
      <w:pPr>
        <w:pStyle w:val="BodyText"/>
      </w:pPr>
    </w:p>
    <w:p w14:paraId="1138C950" w14:textId="22DBAD59" w:rsidR="003B5B63" w:rsidRPr="00CE0424" w:rsidRDefault="003B5B63" w:rsidP="00CE0424">
      <w:pPr>
        <w:pStyle w:val="BodyText"/>
      </w:pPr>
      <w:r>
        <w:t xml:space="preserve">In this contribution we discuss some details regarding in-device coexistence and repeat our views on the </w:t>
      </w:r>
      <w:r w:rsidR="002D2495">
        <w:t xml:space="preserve">non-cochannel </w:t>
      </w:r>
      <w:r>
        <w:t>service-level coexistence.</w:t>
      </w:r>
    </w:p>
    <w:p w14:paraId="020415C4" w14:textId="1258815D" w:rsidR="004000E8" w:rsidRPr="00CE0424" w:rsidRDefault="00230D18" w:rsidP="00CE0424">
      <w:pPr>
        <w:pStyle w:val="Heading1"/>
      </w:pPr>
      <w:bookmarkStart w:id="1" w:name="_Ref178064866"/>
      <w:r>
        <w:t>2</w:t>
      </w:r>
      <w:r>
        <w:tab/>
      </w:r>
      <w:bookmarkEnd w:id="1"/>
      <w:r w:rsidR="003B5B63">
        <w:t>In-device coexistence</w:t>
      </w:r>
      <w:r w:rsidR="001539EC">
        <w:t xml:space="preserve"> between NR SL and LTE SL</w:t>
      </w:r>
    </w:p>
    <w:p w14:paraId="71C3A24B" w14:textId="0F569294" w:rsidR="00F63950" w:rsidRPr="000F7F25" w:rsidRDefault="00230D18" w:rsidP="00F63950">
      <w:pPr>
        <w:pStyle w:val="Heading2"/>
      </w:pPr>
      <w:r w:rsidRPr="000F7F25">
        <w:t>2.1</w:t>
      </w:r>
      <w:r w:rsidRPr="000F7F25">
        <w:tab/>
      </w:r>
      <w:r w:rsidR="000F7F25" w:rsidRPr="000F7F25">
        <w:t>TDM-based solution</w:t>
      </w:r>
    </w:p>
    <w:p w14:paraId="7C94D860" w14:textId="439F1AB4" w:rsidR="00962C79" w:rsidRDefault="005D2D95" w:rsidP="00962C79">
      <w:pPr>
        <w:pStyle w:val="TF"/>
        <w:jc w:val="both"/>
        <w:rPr>
          <w:b w:val="0"/>
          <w:lang w:val="en-GB"/>
        </w:rPr>
      </w:pPr>
      <w:r>
        <w:rPr>
          <w:b w:val="0"/>
          <w:lang w:val="en-GB"/>
        </w:rPr>
        <w:t xml:space="preserve">For an efficient coexistence of the NR SL and LTE SL </w:t>
      </w:r>
      <w:r w:rsidR="009863CE">
        <w:rPr>
          <w:b w:val="0"/>
          <w:lang w:val="en-GB"/>
        </w:rPr>
        <w:t>it is important that some inter-RAT coordination mechanism is specified.</w:t>
      </w:r>
      <w:r w:rsidR="006A1473">
        <w:rPr>
          <w:b w:val="0"/>
          <w:lang w:val="en-GB"/>
        </w:rPr>
        <w:t xml:space="preserve"> </w:t>
      </w:r>
      <w:r w:rsidR="006D7DDA">
        <w:rPr>
          <w:b w:val="0"/>
          <w:lang w:val="en-GB"/>
        </w:rPr>
        <w:t xml:space="preserve">We see that the long-term </w:t>
      </w:r>
      <w:r w:rsidR="00673294">
        <w:rPr>
          <w:b w:val="0"/>
          <w:lang w:val="en-GB"/>
        </w:rPr>
        <w:t>time-scale coordination is more suitable for periodic</w:t>
      </w:r>
      <w:r w:rsidR="00810478">
        <w:rPr>
          <w:b w:val="0"/>
          <w:lang w:val="en-GB"/>
        </w:rPr>
        <w:t xml:space="preserve"> </w:t>
      </w:r>
      <w:r w:rsidR="00673294">
        <w:rPr>
          <w:b w:val="0"/>
          <w:lang w:val="en-GB"/>
        </w:rPr>
        <w:t>type of traffics</w:t>
      </w:r>
      <w:r w:rsidR="006B1494">
        <w:rPr>
          <w:b w:val="0"/>
          <w:lang w:val="en-GB"/>
        </w:rPr>
        <w:t xml:space="preserve"> such as traffic of safety-related services</w:t>
      </w:r>
      <w:r w:rsidR="00673294">
        <w:rPr>
          <w:b w:val="0"/>
          <w:lang w:val="en-GB"/>
        </w:rPr>
        <w:t xml:space="preserve">, where the UE can </w:t>
      </w:r>
      <w:r w:rsidR="001602BB">
        <w:rPr>
          <w:b w:val="0"/>
          <w:lang w:val="en-GB"/>
        </w:rPr>
        <w:t>expect some regular patterns of packet arrivals from the higher layers and therefore can plan</w:t>
      </w:r>
      <w:r w:rsidR="00810478">
        <w:rPr>
          <w:b w:val="0"/>
          <w:lang w:val="en-GB"/>
        </w:rPr>
        <w:t xml:space="preserve"> ahead</w:t>
      </w:r>
      <w:r w:rsidR="001602BB">
        <w:rPr>
          <w:b w:val="0"/>
          <w:lang w:val="en-GB"/>
        </w:rPr>
        <w:t xml:space="preserve"> the </w:t>
      </w:r>
      <w:r w:rsidR="00762EE2">
        <w:rPr>
          <w:b w:val="0"/>
          <w:lang w:val="en-GB"/>
        </w:rPr>
        <w:t xml:space="preserve">transmissions in each RAT. This type of coordination is hard to achieve for </w:t>
      </w:r>
      <w:r w:rsidR="0072448E">
        <w:rPr>
          <w:b w:val="0"/>
          <w:lang w:val="en-GB"/>
        </w:rPr>
        <w:t>non-periodic and latency-critical packets</w:t>
      </w:r>
      <w:r w:rsidR="00810478">
        <w:rPr>
          <w:b w:val="0"/>
          <w:lang w:val="en-GB"/>
        </w:rPr>
        <w:t>, which are expected to be more common in the advanced services supported by NR V2X</w:t>
      </w:r>
      <w:r w:rsidR="0072448E">
        <w:rPr>
          <w:b w:val="0"/>
          <w:lang w:val="en-GB"/>
        </w:rPr>
        <w:t>. In this case short-term solutions are more suitable</w:t>
      </w:r>
      <w:r w:rsidR="00962C79">
        <w:rPr>
          <w:b w:val="0"/>
          <w:lang w:val="en-GB"/>
        </w:rPr>
        <w:t xml:space="preserve"> and here the</w:t>
      </w:r>
      <w:r w:rsidR="00B95B09">
        <w:rPr>
          <w:b w:val="0"/>
          <w:lang w:val="en-GB"/>
        </w:rPr>
        <w:t xml:space="preserve"> issue of overlapping in time of SL transmissions </w:t>
      </w:r>
      <w:r w:rsidR="00D3554B">
        <w:rPr>
          <w:b w:val="0"/>
          <w:lang w:val="en-GB"/>
        </w:rPr>
        <w:t>from</w:t>
      </w:r>
      <w:r w:rsidR="00B95B09">
        <w:rPr>
          <w:b w:val="0"/>
          <w:lang w:val="en-GB"/>
        </w:rPr>
        <w:t xml:space="preserve"> the two RATs</w:t>
      </w:r>
      <w:r w:rsidR="00D3554B">
        <w:rPr>
          <w:b w:val="0"/>
          <w:lang w:val="en-GB"/>
        </w:rPr>
        <w:t xml:space="preserve"> is critical</w:t>
      </w:r>
      <w:r w:rsidR="0072448E">
        <w:rPr>
          <w:b w:val="0"/>
          <w:lang w:val="en-GB"/>
        </w:rPr>
        <w:t>.</w:t>
      </w:r>
      <w:r w:rsidR="00962C79">
        <w:rPr>
          <w:b w:val="0"/>
          <w:lang w:val="en-GB"/>
        </w:rPr>
        <w:t xml:space="preserve"> </w:t>
      </w:r>
    </w:p>
    <w:p w14:paraId="1DAAA28B" w14:textId="66DD207B" w:rsidR="00D3554B" w:rsidRPr="00810478" w:rsidRDefault="006B1494" w:rsidP="00D3554B">
      <w:pPr>
        <w:pStyle w:val="Observation"/>
      </w:pPr>
      <w:bookmarkStart w:id="2" w:name="_Toc528954275"/>
      <w:r>
        <w:t>Both long-term and s</w:t>
      </w:r>
      <w:r w:rsidR="00810478" w:rsidRPr="00810478">
        <w:t>hort</w:t>
      </w:r>
      <w:r w:rsidR="00D3554B" w:rsidRPr="00810478">
        <w:t>-term coordination solution</w:t>
      </w:r>
      <w:r w:rsidR="00ED2E38" w:rsidRPr="00810478">
        <w:t xml:space="preserve">s are </w:t>
      </w:r>
      <w:r>
        <w:t>needed</w:t>
      </w:r>
      <w:r w:rsidR="00D3554B" w:rsidRPr="00810478">
        <w:t>.</w:t>
      </w:r>
      <w:bookmarkEnd w:id="2"/>
    </w:p>
    <w:p w14:paraId="1F894E3C" w14:textId="3ADA0F44" w:rsidR="00962C79" w:rsidRDefault="00962C79" w:rsidP="00962C79">
      <w:pPr>
        <w:pStyle w:val="TF"/>
        <w:jc w:val="both"/>
        <w:rPr>
          <w:b w:val="0"/>
          <w:lang w:val="en-GB"/>
        </w:rPr>
      </w:pPr>
      <w:r>
        <w:rPr>
          <w:b w:val="0"/>
          <w:lang w:val="en-GB"/>
        </w:rPr>
        <w:t xml:space="preserve">In case an NR SL transmission overlaps in time with an LTE transmission we </w:t>
      </w:r>
      <w:r w:rsidR="00E72545">
        <w:rPr>
          <w:b w:val="0"/>
          <w:lang w:val="en-GB"/>
        </w:rPr>
        <w:t xml:space="preserve">anticipate </w:t>
      </w:r>
      <w:r>
        <w:rPr>
          <w:b w:val="0"/>
          <w:lang w:val="en-GB"/>
        </w:rPr>
        <w:t xml:space="preserve">that some kind of prioritization should be considered. </w:t>
      </w:r>
      <w:r w:rsidR="00C50098">
        <w:rPr>
          <w:b w:val="0"/>
          <w:lang w:val="en-GB"/>
        </w:rPr>
        <w:t xml:space="preserve">It is </w:t>
      </w:r>
      <w:r w:rsidR="00AF06A2">
        <w:rPr>
          <w:b w:val="0"/>
          <w:lang w:val="en-GB"/>
        </w:rPr>
        <w:t xml:space="preserve">tempting to </w:t>
      </w:r>
      <w:r w:rsidR="00E72545">
        <w:rPr>
          <w:b w:val="0"/>
          <w:lang w:val="en-GB"/>
        </w:rPr>
        <w:t>define</w:t>
      </w:r>
      <w:r w:rsidR="00AF06A2">
        <w:rPr>
          <w:b w:val="0"/>
          <w:lang w:val="en-GB"/>
        </w:rPr>
        <w:t xml:space="preserve"> </w:t>
      </w:r>
      <w:r w:rsidR="007347F1">
        <w:rPr>
          <w:b w:val="0"/>
          <w:lang w:val="en-GB"/>
        </w:rPr>
        <w:t>some</w:t>
      </w:r>
      <w:r w:rsidR="00AF06A2">
        <w:rPr>
          <w:b w:val="0"/>
          <w:lang w:val="en-GB"/>
        </w:rPr>
        <w:t xml:space="preserve"> prioritization </w:t>
      </w:r>
      <w:r w:rsidR="007347F1">
        <w:rPr>
          <w:b w:val="0"/>
          <w:lang w:val="en-GB"/>
        </w:rPr>
        <w:t xml:space="preserve">rules </w:t>
      </w:r>
      <w:r w:rsidR="00E72545">
        <w:rPr>
          <w:b w:val="0"/>
          <w:lang w:val="en-GB"/>
        </w:rPr>
        <w:t xml:space="preserve">based </w:t>
      </w:r>
      <w:r w:rsidR="00AF06A2">
        <w:rPr>
          <w:b w:val="0"/>
          <w:lang w:val="en-GB"/>
        </w:rPr>
        <w:t xml:space="preserve">on QoS parameters </w:t>
      </w:r>
      <w:r w:rsidR="00181272">
        <w:rPr>
          <w:b w:val="0"/>
          <w:lang w:val="en-GB"/>
        </w:rPr>
        <w:t>such as</w:t>
      </w:r>
      <w:r w:rsidR="00230D2E">
        <w:rPr>
          <w:b w:val="0"/>
          <w:lang w:val="en-GB"/>
        </w:rPr>
        <w:t xml:space="preserve"> </w:t>
      </w:r>
      <w:r>
        <w:rPr>
          <w:b w:val="0"/>
          <w:lang w:val="en-GB"/>
        </w:rPr>
        <w:t>priority of the packets to be transmitted in the two RATs</w:t>
      </w:r>
      <w:r w:rsidR="00230D2E">
        <w:rPr>
          <w:b w:val="0"/>
          <w:lang w:val="en-GB"/>
        </w:rPr>
        <w:t xml:space="preserve"> </w:t>
      </w:r>
      <w:r w:rsidR="00181272">
        <w:rPr>
          <w:b w:val="0"/>
          <w:lang w:val="en-GB"/>
        </w:rPr>
        <w:t xml:space="preserve">or </w:t>
      </w:r>
      <w:r w:rsidR="00597F04">
        <w:rPr>
          <w:b w:val="0"/>
          <w:lang w:val="en-GB"/>
        </w:rPr>
        <w:t>how congested the RAT</w:t>
      </w:r>
      <w:r w:rsidR="00230D2E">
        <w:rPr>
          <w:b w:val="0"/>
          <w:lang w:val="en-GB"/>
        </w:rPr>
        <w:t>s</w:t>
      </w:r>
      <w:r w:rsidR="00597F04">
        <w:rPr>
          <w:b w:val="0"/>
          <w:lang w:val="en-GB"/>
        </w:rPr>
        <w:t xml:space="preserve"> </w:t>
      </w:r>
      <w:r w:rsidR="00230D2E">
        <w:rPr>
          <w:b w:val="0"/>
          <w:lang w:val="en-GB"/>
        </w:rPr>
        <w:t>are</w:t>
      </w:r>
      <w:r w:rsidR="00597F04">
        <w:rPr>
          <w:b w:val="0"/>
          <w:lang w:val="en-GB"/>
        </w:rPr>
        <w:t xml:space="preserve">. </w:t>
      </w:r>
      <w:r w:rsidR="00230D2E">
        <w:rPr>
          <w:b w:val="0"/>
          <w:lang w:val="en-GB"/>
        </w:rPr>
        <w:t xml:space="preserve">However, we believe </w:t>
      </w:r>
      <w:r w:rsidR="00181272">
        <w:rPr>
          <w:b w:val="0"/>
          <w:lang w:val="en-GB"/>
        </w:rPr>
        <w:t xml:space="preserve">that </w:t>
      </w:r>
      <w:r w:rsidR="009E2A95">
        <w:rPr>
          <w:b w:val="0"/>
          <w:lang w:val="en-GB"/>
        </w:rPr>
        <w:t xml:space="preserve">it is not possible to </w:t>
      </w:r>
      <w:r w:rsidR="007347F1">
        <w:rPr>
          <w:b w:val="0"/>
          <w:lang w:val="en-GB"/>
        </w:rPr>
        <w:t>defin</w:t>
      </w:r>
      <w:r w:rsidR="009E2A95">
        <w:rPr>
          <w:b w:val="0"/>
          <w:lang w:val="en-GB"/>
        </w:rPr>
        <w:t>e</w:t>
      </w:r>
      <w:r w:rsidR="007347F1">
        <w:rPr>
          <w:b w:val="0"/>
          <w:lang w:val="en-GB"/>
        </w:rPr>
        <w:t xml:space="preserve"> such</w:t>
      </w:r>
      <w:r w:rsidR="00181272">
        <w:rPr>
          <w:b w:val="0"/>
          <w:lang w:val="en-GB"/>
        </w:rPr>
        <w:t xml:space="preserve"> rules </w:t>
      </w:r>
      <w:r w:rsidR="000C3E22">
        <w:rPr>
          <w:b w:val="0"/>
          <w:lang w:val="en-GB"/>
        </w:rPr>
        <w:t>now when the QoS framework for NR V2X has not been developed.</w:t>
      </w:r>
      <w:r w:rsidR="00D50098">
        <w:rPr>
          <w:b w:val="0"/>
          <w:lang w:val="en-GB"/>
        </w:rPr>
        <w:t xml:space="preserve"> </w:t>
      </w:r>
    </w:p>
    <w:p w14:paraId="718B246B" w14:textId="6868610F" w:rsidR="00962C79" w:rsidRPr="003F121E" w:rsidRDefault="00962C79" w:rsidP="0005208A">
      <w:pPr>
        <w:pStyle w:val="Proposal"/>
      </w:pPr>
      <w:bookmarkStart w:id="3" w:name="_Toc528954278"/>
      <w:r w:rsidRPr="003F121E">
        <w:t>RAT prioritization for TDM-based coexistence</w:t>
      </w:r>
      <w:r w:rsidR="009E2A95">
        <w:t xml:space="preserve"> is only considered when</w:t>
      </w:r>
      <w:r w:rsidR="00E84884">
        <w:t xml:space="preserve"> the QoS framework for NR V2X has been developed</w:t>
      </w:r>
      <w:r w:rsidRPr="003F121E">
        <w:t>.</w:t>
      </w:r>
      <w:bookmarkEnd w:id="3"/>
    </w:p>
    <w:p w14:paraId="7A8652E0" w14:textId="11B4A8C8" w:rsidR="00E44C11" w:rsidRDefault="00BB4AFF" w:rsidP="00E44C11">
      <w:pPr>
        <w:pStyle w:val="TF"/>
        <w:jc w:val="both"/>
        <w:rPr>
          <w:b w:val="0"/>
          <w:lang w:val="en-GB"/>
        </w:rPr>
      </w:pPr>
      <w:r>
        <w:rPr>
          <w:b w:val="0"/>
          <w:lang w:val="en-GB"/>
        </w:rPr>
        <w:t>One</w:t>
      </w:r>
      <w:r w:rsidR="003F121E">
        <w:rPr>
          <w:b w:val="0"/>
          <w:lang w:val="en-GB"/>
        </w:rPr>
        <w:t xml:space="preserve"> </w:t>
      </w:r>
      <w:r w:rsidR="007C0E00">
        <w:rPr>
          <w:b w:val="0"/>
          <w:lang w:val="en-GB"/>
        </w:rPr>
        <w:t xml:space="preserve">important </w:t>
      </w:r>
      <w:r w:rsidR="003F121E">
        <w:rPr>
          <w:b w:val="0"/>
          <w:lang w:val="en-GB"/>
        </w:rPr>
        <w:t xml:space="preserve">aspect of </w:t>
      </w:r>
      <w:r w:rsidR="00274137">
        <w:rPr>
          <w:b w:val="0"/>
          <w:lang w:val="en-GB"/>
        </w:rPr>
        <w:t xml:space="preserve">the coexistence is the time alignment of the two RATs. </w:t>
      </w:r>
      <w:r>
        <w:rPr>
          <w:b w:val="0"/>
          <w:lang w:val="en-GB"/>
        </w:rPr>
        <w:t>We believe that</w:t>
      </w:r>
      <w:r w:rsidR="00E44C11" w:rsidRPr="00345495">
        <w:rPr>
          <w:b w:val="0"/>
          <w:lang w:val="en-GB"/>
        </w:rPr>
        <w:t xml:space="preserve"> the alignment at the DFN </w:t>
      </w:r>
      <w:r w:rsidR="006B1494">
        <w:rPr>
          <w:b w:val="0"/>
          <w:lang w:val="en-GB"/>
        </w:rPr>
        <w:t xml:space="preserve">level, i.e., the numbering of slots/subframes </w:t>
      </w:r>
      <w:r w:rsidR="00E44C11" w:rsidRPr="00345495">
        <w:rPr>
          <w:b w:val="0"/>
          <w:lang w:val="en-GB"/>
        </w:rPr>
        <w:t>is necessary</w:t>
      </w:r>
      <w:r w:rsidR="00274137">
        <w:rPr>
          <w:b w:val="0"/>
          <w:lang w:val="en-GB"/>
        </w:rPr>
        <w:t>,</w:t>
      </w:r>
      <w:r w:rsidR="00E44C11" w:rsidRPr="00345495">
        <w:rPr>
          <w:b w:val="0"/>
          <w:lang w:val="en-GB"/>
        </w:rPr>
        <w:t xml:space="preserve"> </w:t>
      </w:r>
      <w:r w:rsidR="00274137">
        <w:rPr>
          <w:b w:val="0"/>
          <w:lang w:val="en-GB"/>
        </w:rPr>
        <w:t>a</w:t>
      </w:r>
      <w:r w:rsidR="00E44C11" w:rsidRPr="00345495">
        <w:rPr>
          <w:b w:val="0"/>
          <w:lang w:val="en-GB"/>
        </w:rPr>
        <w:t>t least to have a common understanding of the resource pool configuration</w:t>
      </w:r>
      <w:r w:rsidR="007C0E00">
        <w:rPr>
          <w:b w:val="0"/>
          <w:lang w:val="en-GB"/>
        </w:rPr>
        <w:t>s</w:t>
      </w:r>
      <w:r w:rsidR="006B1494">
        <w:rPr>
          <w:b w:val="0"/>
          <w:lang w:val="en-GB"/>
        </w:rPr>
        <w:t xml:space="preserve"> in the two RATs</w:t>
      </w:r>
      <w:r w:rsidR="00E44C11">
        <w:rPr>
          <w:b w:val="0"/>
          <w:lang w:val="en-GB"/>
        </w:rPr>
        <w:t xml:space="preserve">. </w:t>
      </w:r>
      <w:r>
        <w:rPr>
          <w:b w:val="0"/>
          <w:lang w:val="en-GB"/>
        </w:rPr>
        <w:t>The slot-level alignment, meaning that the starting point of slots in NR and subframes in LTE are aligned to certain extent, is also very beneficial since it helps in reducing overlapping transmissions of the two RAT</w:t>
      </w:r>
      <w:r w:rsidR="006B1494">
        <w:rPr>
          <w:b w:val="0"/>
          <w:lang w:val="en-GB"/>
        </w:rPr>
        <w:t>s</w:t>
      </w:r>
      <w:r>
        <w:rPr>
          <w:b w:val="0"/>
          <w:lang w:val="en-GB"/>
        </w:rPr>
        <w:t xml:space="preserve">. </w:t>
      </w:r>
      <w:r w:rsidR="006B1494">
        <w:rPr>
          <w:b w:val="0"/>
          <w:lang w:val="en-GB"/>
        </w:rPr>
        <w:t>Here the operating NR numerology may have an impact on the requirements of slot-level alignment because the higher the subcarrier spacing the shorter the OFDM symbol and slot, hence the less tolerant to timing misalignment.</w:t>
      </w:r>
    </w:p>
    <w:p w14:paraId="38BEF128" w14:textId="0323630F" w:rsidR="00E35FDA" w:rsidRPr="003F121E" w:rsidRDefault="00E35FDA" w:rsidP="0005208A">
      <w:pPr>
        <w:pStyle w:val="Proposal"/>
      </w:pPr>
      <w:bookmarkStart w:id="4" w:name="_Toc528954279"/>
      <w:r>
        <w:t xml:space="preserve">Both slot-boundary and DFN alignment are </w:t>
      </w:r>
      <w:r w:rsidR="0005208A">
        <w:t>necessary</w:t>
      </w:r>
      <w:r>
        <w:t xml:space="preserve"> for</w:t>
      </w:r>
      <w:r w:rsidR="00EF4777">
        <w:t xml:space="preserve"> </w:t>
      </w:r>
      <w:r w:rsidR="0005208A">
        <w:t xml:space="preserve">TDM </w:t>
      </w:r>
      <w:r w:rsidR="00EF4777">
        <w:t>coexistence.</w:t>
      </w:r>
      <w:bookmarkEnd w:id="4"/>
    </w:p>
    <w:p w14:paraId="0E264986" w14:textId="7A6D9EA4" w:rsidR="00E44C11" w:rsidRDefault="00E44C11" w:rsidP="0005208A">
      <w:pPr>
        <w:pStyle w:val="Proposal"/>
      </w:pPr>
      <w:bookmarkStart w:id="5" w:name="_Toc528954280"/>
      <w:r w:rsidRPr="00581E7C">
        <w:t>RAN1 study mechanism</w:t>
      </w:r>
      <w:r w:rsidR="00581E7C">
        <w:t>s</w:t>
      </w:r>
      <w:r w:rsidRPr="00581E7C">
        <w:t xml:space="preserve"> for </w:t>
      </w:r>
      <w:r w:rsidR="006B1494">
        <w:t xml:space="preserve">both </w:t>
      </w:r>
      <w:r w:rsidRPr="00581E7C">
        <w:t xml:space="preserve">slot-level and </w:t>
      </w:r>
      <w:r w:rsidR="00713DD1">
        <w:t>DFN</w:t>
      </w:r>
      <w:r w:rsidR="007C0E00">
        <w:t>-</w:t>
      </w:r>
      <w:r w:rsidR="00713DD1">
        <w:t>level</w:t>
      </w:r>
      <w:r w:rsidR="007C0E00">
        <w:t xml:space="preserve"> time alignment of LTE SL and NR SL.</w:t>
      </w:r>
      <w:r w:rsidR="006B1494">
        <w:t xml:space="preserve"> The mechanisms should consider at least the impact of numerology.</w:t>
      </w:r>
      <w:bookmarkEnd w:id="5"/>
    </w:p>
    <w:p w14:paraId="5A6BF13D" w14:textId="77777777" w:rsidR="00CF464C" w:rsidRDefault="00CF464C" w:rsidP="00CF464C">
      <w:pPr>
        <w:pStyle w:val="Proposal"/>
        <w:numPr>
          <w:ilvl w:val="0"/>
          <w:numId w:val="0"/>
        </w:numPr>
        <w:jc w:val="left"/>
      </w:pPr>
    </w:p>
    <w:p w14:paraId="061C1A58" w14:textId="570989F5" w:rsidR="00F63950" w:rsidRPr="000F7F25" w:rsidRDefault="00230D18" w:rsidP="00F63950">
      <w:pPr>
        <w:pStyle w:val="Heading2"/>
      </w:pPr>
      <w:r w:rsidRPr="000F7F25">
        <w:t>2.2</w:t>
      </w:r>
      <w:r w:rsidRPr="000F7F25">
        <w:tab/>
      </w:r>
      <w:r w:rsidR="000F7F25" w:rsidRPr="000F7F25">
        <w:t>FDM-based solution</w:t>
      </w:r>
    </w:p>
    <w:p w14:paraId="2B9E6C41" w14:textId="03A9295D" w:rsidR="00E44C11" w:rsidRPr="00876EF4" w:rsidRDefault="00E44C11" w:rsidP="00E44C11">
      <w:pPr>
        <w:pStyle w:val="BodyText"/>
        <w:rPr>
          <w:rFonts w:cs="Arial"/>
        </w:rPr>
      </w:pPr>
      <w:r w:rsidRPr="00876EF4">
        <w:rPr>
          <w:rFonts w:cs="Arial"/>
        </w:rPr>
        <w:t>In our view, the FDM between NR SL resource pool and LTE SL resource pool has a big advantage of allowing simultaneous transmissions on both RATs, thereby utilizing radio resources more efficiently and suitable to support low latency services on both RATs. FDM of NR and SL resource pools is also natural in ITS bands, where we envision that each RAT can be allocated an individual channel, e.g., a 10 MHz channel in the 5.9 GHz band.</w:t>
      </w:r>
    </w:p>
    <w:p w14:paraId="77ABB34E" w14:textId="331B78AB" w:rsidR="00E44C11" w:rsidRPr="00876EF4" w:rsidRDefault="0005208A" w:rsidP="00E44C11">
      <w:pPr>
        <w:pStyle w:val="Proposal"/>
        <w:tabs>
          <w:tab w:val="clear" w:pos="1304"/>
        </w:tabs>
        <w:overflowPunct/>
        <w:autoSpaceDE/>
        <w:autoSpaceDN/>
        <w:adjustRightInd/>
        <w:spacing w:line="259" w:lineRule="auto"/>
        <w:ind w:left="1701" w:hanging="1701"/>
        <w:textAlignment w:val="auto"/>
        <w:rPr>
          <w:rFonts w:cs="Arial"/>
        </w:rPr>
      </w:pPr>
      <w:bookmarkStart w:id="6" w:name="_Toc525928768"/>
      <w:bookmarkStart w:id="7" w:name="_Toc528954281"/>
      <w:r>
        <w:rPr>
          <w:rFonts w:cs="Arial"/>
        </w:rPr>
        <w:t xml:space="preserve">Solutions for </w:t>
      </w:r>
      <w:r w:rsidR="00E44C11" w:rsidRPr="00876EF4">
        <w:rPr>
          <w:rFonts w:cs="Arial"/>
        </w:rPr>
        <w:t xml:space="preserve">FDM </w:t>
      </w:r>
      <w:r>
        <w:rPr>
          <w:rFonts w:cs="Arial"/>
        </w:rPr>
        <w:t xml:space="preserve">coexistence </w:t>
      </w:r>
      <w:r w:rsidR="00E44C11" w:rsidRPr="00876EF4">
        <w:rPr>
          <w:rFonts w:cs="Arial"/>
        </w:rPr>
        <w:t xml:space="preserve">of LTE V2X and NR V2X </w:t>
      </w:r>
      <w:proofErr w:type="spellStart"/>
      <w:r w:rsidR="00E44C11" w:rsidRPr="00876EF4">
        <w:rPr>
          <w:rFonts w:cs="Arial"/>
        </w:rPr>
        <w:t>sidelink</w:t>
      </w:r>
      <w:proofErr w:type="spellEnd"/>
      <w:r w:rsidR="00E44C11" w:rsidRPr="00876EF4">
        <w:rPr>
          <w:rFonts w:cs="Arial"/>
        </w:rPr>
        <w:t xml:space="preserve"> transmissions </w:t>
      </w:r>
      <w:r>
        <w:rPr>
          <w:rFonts w:cs="Arial"/>
        </w:rPr>
        <w:t>are introduced</w:t>
      </w:r>
      <w:r w:rsidR="00E44C11" w:rsidRPr="00876EF4">
        <w:rPr>
          <w:rFonts w:cs="Arial"/>
        </w:rPr>
        <w:t>.</w:t>
      </w:r>
      <w:bookmarkEnd w:id="6"/>
      <w:bookmarkEnd w:id="7"/>
    </w:p>
    <w:p w14:paraId="110AB24C" w14:textId="147817D8" w:rsidR="00E44C11" w:rsidRPr="00876EF4" w:rsidRDefault="00E44C11" w:rsidP="00E44C11">
      <w:pPr>
        <w:pStyle w:val="BodyText"/>
        <w:rPr>
          <w:rFonts w:cs="Arial"/>
        </w:rPr>
      </w:pPr>
      <w:r w:rsidRPr="00876EF4">
        <w:rPr>
          <w:rFonts w:cs="Arial"/>
        </w:rPr>
        <w:t xml:space="preserve">In our companion </w:t>
      </w:r>
      <w:r w:rsidRPr="00896337">
        <w:rPr>
          <w:rFonts w:cs="Arial"/>
        </w:rPr>
        <w:t xml:space="preserve">contribution </w:t>
      </w:r>
      <w:r w:rsidRPr="00896337">
        <w:rPr>
          <w:rFonts w:cs="Arial"/>
        </w:rPr>
        <w:fldChar w:fldCharType="begin"/>
      </w:r>
      <w:r w:rsidRPr="00896337">
        <w:rPr>
          <w:rFonts w:cs="Arial"/>
        </w:rPr>
        <w:instrText xml:space="preserve"> REF _Ref525897967 \r \h  \* MERGEFORMAT </w:instrText>
      </w:r>
      <w:r w:rsidRPr="00896337">
        <w:rPr>
          <w:rFonts w:cs="Arial"/>
        </w:rPr>
      </w:r>
      <w:r w:rsidRPr="00896337">
        <w:rPr>
          <w:rFonts w:cs="Arial"/>
        </w:rPr>
        <w:fldChar w:fldCharType="separate"/>
      </w:r>
      <w:r w:rsidR="00E2668A" w:rsidRPr="00896337">
        <w:rPr>
          <w:rFonts w:cs="Arial"/>
        </w:rPr>
        <w:t>[2]</w:t>
      </w:r>
      <w:r w:rsidRPr="00896337">
        <w:rPr>
          <w:rFonts w:cs="Arial"/>
        </w:rPr>
        <w:fldChar w:fldCharType="end"/>
      </w:r>
      <w:r w:rsidRPr="00896337">
        <w:rPr>
          <w:rFonts w:cs="Arial"/>
        </w:rPr>
        <w:t xml:space="preserve"> we discuss the role of bandwidth part (BWP) for NR SL and propose the concept of SL BWP. We also propose not to support multiple numerologies for NR in the same SL carrier. In </w:t>
      </w:r>
      <w:r w:rsidRPr="00896337">
        <w:rPr>
          <w:rFonts w:cs="Arial"/>
          <w:b/>
          <w:sz w:val="18"/>
        </w:rPr>
        <w:lastRenderedPageBreak/>
        <w:fldChar w:fldCharType="begin"/>
      </w:r>
      <w:r w:rsidRPr="00896337">
        <w:rPr>
          <w:rFonts w:cs="Arial"/>
          <w:b/>
          <w:sz w:val="18"/>
        </w:rPr>
        <w:instrText xml:space="preserve"> REF _Ref525897324 \r \h  \* MERGEFORMAT </w:instrText>
      </w:r>
      <w:r w:rsidRPr="00896337">
        <w:rPr>
          <w:rFonts w:cs="Arial"/>
          <w:b/>
          <w:sz w:val="18"/>
        </w:rPr>
      </w:r>
      <w:r w:rsidRPr="00896337">
        <w:rPr>
          <w:rFonts w:cs="Arial"/>
          <w:b/>
          <w:sz w:val="18"/>
        </w:rPr>
        <w:fldChar w:fldCharType="separate"/>
      </w:r>
      <w:r w:rsidR="00E2668A" w:rsidRPr="00896337">
        <w:rPr>
          <w:rFonts w:cs="Arial"/>
          <w:b/>
          <w:bCs/>
          <w:sz w:val="18"/>
          <w:lang w:val="en-US"/>
        </w:rPr>
        <w:t>[3]</w:t>
      </w:r>
      <w:r w:rsidRPr="00896337">
        <w:rPr>
          <w:rFonts w:cs="Arial"/>
          <w:b/>
          <w:sz w:val="18"/>
        </w:rPr>
        <w:fldChar w:fldCharType="end"/>
      </w:r>
      <w:r w:rsidRPr="00896337">
        <w:rPr>
          <w:rFonts w:cs="Arial"/>
          <w:sz w:val="18"/>
        </w:rPr>
        <w:t xml:space="preserve"> </w:t>
      </w:r>
      <w:r w:rsidRPr="00876EF4">
        <w:rPr>
          <w:rFonts w:cs="Arial"/>
        </w:rPr>
        <w:t xml:space="preserve">we also discuss the resource configuration for coexistence of NR SL and LTE SL. There we envisage that for the case that LTE SL and NR use the same SCS, segregation of the systems using resource pools is enough. In contrast, for the case that LTE SL and NR use different SCS, then it is necessary to prevent inter-carrier interference. </w:t>
      </w:r>
    </w:p>
    <w:p w14:paraId="6266C3EE" w14:textId="77777777" w:rsidR="00E44C11" w:rsidRPr="006E77FA" w:rsidRDefault="00E44C11" w:rsidP="00E44C11">
      <w:pPr>
        <w:pStyle w:val="Proposal"/>
        <w:tabs>
          <w:tab w:val="clear" w:pos="1304"/>
        </w:tabs>
        <w:overflowPunct/>
        <w:autoSpaceDE/>
        <w:autoSpaceDN/>
        <w:adjustRightInd/>
        <w:spacing w:line="259" w:lineRule="auto"/>
        <w:ind w:left="1701" w:hanging="1701"/>
        <w:textAlignment w:val="auto"/>
        <w:rPr>
          <w:rFonts w:cs="Arial"/>
        </w:rPr>
      </w:pPr>
      <w:bookmarkStart w:id="8" w:name="_Toc525928769"/>
      <w:bookmarkStart w:id="9" w:name="_Toc528954282"/>
      <w:r w:rsidRPr="006E77FA">
        <w:rPr>
          <w:rFonts w:cs="Arial"/>
        </w:rPr>
        <w:t>For in-band deployment of NR SL and LTE SL in licensed carrier, from an NR point of view:</w:t>
      </w:r>
      <w:bookmarkEnd w:id="8"/>
      <w:bookmarkEnd w:id="9"/>
    </w:p>
    <w:p w14:paraId="1B7775C1" w14:textId="77777777" w:rsidR="00E44C11" w:rsidRPr="006E77FA" w:rsidRDefault="00E44C11" w:rsidP="00E44C11">
      <w:pPr>
        <w:pStyle w:val="Proposal"/>
        <w:numPr>
          <w:ilvl w:val="0"/>
          <w:numId w:val="28"/>
        </w:numPr>
        <w:overflowPunct/>
        <w:autoSpaceDE/>
        <w:autoSpaceDN/>
        <w:adjustRightInd/>
        <w:spacing w:line="259" w:lineRule="auto"/>
        <w:ind w:left="1701" w:firstLine="189"/>
        <w:textAlignment w:val="auto"/>
        <w:rPr>
          <w:rFonts w:cs="Arial"/>
        </w:rPr>
      </w:pPr>
      <w:bookmarkStart w:id="10" w:name="_Toc525898582"/>
      <w:bookmarkStart w:id="11" w:name="_Toc525928770"/>
      <w:bookmarkStart w:id="12" w:name="_Toc528954283"/>
      <w:r w:rsidRPr="006E77FA">
        <w:rPr>
          <w:rFonts w:cs="Arial"/>
        </w:rPr>
        <w:t>For same SCS, separation through non-overlapping pools is assumed.</w:t>
      </w:r>
      <w:bookmarkStart w:id="13" w:name="_Toc525898583"/>
      <w:bookmarkEnd w:id="10"/>
      <w:bookmarkEnd w:id="11"/>
      <w:bookmarkEnd w:id="12"/>
    </w:p>
    <w:p w14:paraId="50ED1CFE" w14:textId="77777777" w:rsidR="00E44C11" w:rsidRPr="00876EF4" w:rsidRDefault="00E44C11" w:rsidP="00E44C11">
      <w:pPr>
        <w:pStyle w:val="Proposal"/>
        <w:numPr>
          <w:ilvl w:val="0"/>
          <w:numId w:val="28"/>
        </w:numPr>
        <w:overflowPunct/>
        <w:autoSpaceDE/>
        <w:autoSpaceDN/>
        <w:adjustRightInd/>
        <w:spacing w:line="259" w:lineRule="auto"/>
        <w:ind w:left="1701" w:firstLine="189"/>
        <w:textAlignment w:val="auto"/>
        <w:rPr>
          <w:rFonts w:cs="Arial"/>
        </w:rPr>
      </w:pPr>
      <w:bookmarkStart w:id="14" w:name="_Toc525928771"/>
      <w:bookmarkStart w:id="15" w:name="_Toc528954284"/>
      <w:r w:rsidRPr="006E77FA">
        <w:rPr>
          <w:rFonts w:cs="Arial"/>
        </w:rPr>
        <w:t>For different SCS, separation through non-overlapping BWPs is assumed.</w:t>
      </w:r>
      <w:bookmarkEnd w:id="13"/>
      <w:bookmarkEnd w:id="14"/>
      <w:bookmarkEnd w:id="15"/>
    </w:p>
    <w:p w14:paraId="7D93078F" w14:textId="3706CB4C" w:rsidR="006E062C" w:rsidRDefault="00B409E0" w:rsidP="00CE0424">
      <w:pPr>
        <w:pStyle w:val="Heading1"/>
      </w:pPr>
      <w:bookmarkStart w:id="16" w:name="_Ref189046994"/>
      <w:r>
        <w:t>3</w:t>
      </w:r>
      <w:r>
        <w:tab/>
      </w:r>
      <w:bookmarkEnd w:id="16"/>
      <w:r w:rsidR="002D2495">
        <w:t>Service-level coexistence</w:t>
      </w:r>
      <w:r w:rsidR="001D5530">
        <w:t xml:space="preserve"> and forward compatibility</w:t>
      </w:r>
    </w:p>
    <w:p w14:paraId="79CF04F2" w14:textId="0FC02CA3" w:rsidR="002D2495" w:rsidRPr="005D66A0" w:rsidRDefault="000249C6" w:rsidP="000249C6">
      <w:pPr>
        <w:pStyle w:val="Heading2"/>
      </w:pPr>
      <w:r>
        <w:t>3.1</w:t>
      </w:r>
      <w:r>
        <w:tab/>
      </w:r>
      <w:r w:rsidR="002D2495" w:rsidRPr="005D66A0">
        <w:t>Coexistence of V2X services provided by different releases of 3GPP V2X</w:t>
      </w:r>
    </w:p>
    <w:p w14:paraId="15FDA3AA" w14:textId="77777777" w:rsidR="002D2495" w:rsidRPr="005D66A0" w:rsidRDefault="002D2495" w:rsidP="002D2495">
      <w:pPr>
        <w:pStyle w:val="BodyText"/>
      </w:pPr>
      <w:r w:rsidRPr="005D66A0">
        <w:t>Due to possible coexistence scenario of different 3GPP radio access technologies (RATs) i.e. LTE or NR or a release of a RAT i.e. LTE Rel-14 or LTE Rel-15 and the distributed nature of V2X system, it is of foremost importance that interoperability at service level is ensured. Therefore, we believe that each service is served by a specific radio access technology (RAT) or release of a RAT. For example, day-1 safety messages may be carried by LTE Rel-14, platooning messages may be carried by LTE Rel-15, and cooperative driving services may be carried by NR Rel-16. Any UE participating in a service may assume that all its messages belonging to that service will be understood by all other UEs participating in the same service.</w:t>
      </w:r>
    </w:p>
    <w:p w14:paraId="3E7C6C07" w14:textId="77777777" w:rsidR="002D2495" w:rsidRPr="005D66A0" w:rsidRDefault="002D2495" w:rsidP="000249C6">
      <w:pPr>
        <w:pStyle w:val="Observation"/>
        <w:overflowPunct/>
        <w:autoSpaceDE/>
        <w:autoSpaceDN/>
        <w:adjustRightInd/>
        <w:spacing w:line="259" w:lineRule="auto"/>
        <w:ind w:left="1530" w:hanging="1530"/>
        <w:textAlignment w:val="auto"/>
      </w:pPr>
      <w:bookmarkStart w:id="17" w:name="_Toc521334547"/>
      <w:bookmarkStart w:id="18" w:name="_Toc521334548"/>
      <w:bookmarkStart w:id="19" w:name="_Toc521686134"/>
      <w:bookmarkStart w:id="20" w:name="_Toc525928761"/>
      <w:bookmarkStart w:id="21" w:name="_Toc528954276"/>
      <w:bookmarkEnd w:id="17"/>
      <w:bookmarkEnd w:id="18"/>
      <w:r w:rsidRPr="005D66A0">
        <w:t>Any UE participating in a service may assume that its messages will be understood by all other UEs interested in the same service.</w:t>
      </w:r>
      <w:bookmarkEnd w:id="19"/>
      <w:bookmarkEnd w:id="20"/>
      <w:bookmarkEnd w:id="21"/>
      <w:r w:rsidRPr="005D66A0">
        <w:t xml:space="preserve"> </w:t>
      </w:r>
    </w:p>
    <w:p w14:paraId="46491605" w14:textId="77777777" w:rsidR="002D2495" w:rsidRPr="005D66A0" w:rsidRDefault="002D2495" w:rsidP="002D2495">
      <w:pPr>
        <w:pStyle w:val="BodyText"/>
      </w:pPr>
      <w:r w:rsidRPr="005D66A0">
        <w:t>Our position is that interoperability should be ensured at service level. Given this principle, we believe that RAN2 should be the leading working group for this study.</w:t>
      </w:r>
    </w:p>
    <w:p w14:paraId="7CDE909C" w14:textId="77777777" w:rsidR="002D2495" w:rsidRPr="005D66A0" w:rsidRDefault="002D2495" w:rsidP="002D2495">
      <w:pPr>
        <w:pStyle w:val="Proposal"/>
        <w:overflowPunct/>
        <w:autoSpaceDE/>
        <w:autoSpaceDN/>
        <w:adjustRightInd/>
        <w:spacing w:line="259" w:lineRule="auto"/>
        <w:textAlignment w:val="auto"/>
      </w:pPr>
      <w:bookmarkStart w:id="22" w:name="_Toc521686128"/>
      <w:bookmarkStart w:id="23" w:name="_Toc525928765"/>
      <w:bookmarkStart w:id="24" w:name="_Toc528954285"/>
      <w:r w:rsidRPr="005D66A0">
        <w:t>Interoperability is ensured at service level.</w:t>
      </w:r>
      <w:bookmarkEnd w:id="22"/>
      <w:bookmarkEnd w:id="23"/>
      <w:bookmarkEnd w:id="24"/>
    </w:p>
    <w:p w14:paraId="015EA5DD" w14:textId="77777777" w:rsidR="002D2495" w:rsidRPr="005D66A0" w:rsidRDefault="002D2495" w:rsidP="002D2495">
      <w:pPr>
        <w:pStyle w:val="Proposal"/>
        <w:overflowPunct/>
        <w:autoSpaceDE/>
        <w:autoSpaceDN/>
        <w:adjustRightInd/>
        <w:spacing w:line="259" w:lineRule="auto"/>
        <w:textAlignment w:val="auto"/>
      </w:pPr>
      <w:bookmarkStart w:id="25" w:name="_Toc521686129"/>
      <w:bookmarkStart w:id="26" w:name="_Toc525928766"/>
      <w:bookmarkStart w:id="27" w:name="_Toc528954286"/>
      <w:r w:rsidRPr="005D66A0">
        <w:t>RAN2 to lead the study on interoperability at service level.</w:t>
      </w:r>
      <w:bookmarkEnd w:id="25"/>
      <w:bookmarkEnd w:id="26"/>
      <w:bookmarkEnd w:id="27"/>
    </w:p>
    <w:p w14:paraId="270DC60F" w14:textId="77777777" w:rsidR="002D2495" w:rsidRPr="005D66A0" w:rsidRDefault="002D2495" w:rsidP="002D2495">
      <w:pPr>
        <w:pStyle w:val="BodyText"/>
      </w:pPr>
      <w:r>
        <w:t>Furthermore, it is to be noted that</w:t>
      </w:r>
      <w:r w:rsidRPr="005D66A0">
        <w:t xml:space="preserve"> the above does not imply that the basic V2X services (i.e. day-1 safety service) are only provided by LTE. NR system should also be able to provide such services to allow future stand-alone NR V2X operations.</w:t>
      </w:r>
    </w:p>
    <w:p w14:paraId="5673FED2" w14:textId="045C314C" w:rsidR="002D2495" w:rsidRPr="005D66A0" w:rsidRDefault="000249C6" w:rsidP="000249C6">
      <w:pPr>
        <w:pStyle w:val="Heading2"/>
      </w:pPr>
      <w:r>
        <w:t>3.2</w:t>
      </w:r>
      <w:r w:rsidR="002D2495" w:rsidRPr="005D66A0">
        <w:t xml:space="preserve"> </w:t>
      </w:r>
      <w:r w:rsidR="002D2495" w:rsidRPr="005D66A0">
        <w:tab/>
        <w:t xml:space="preserve">Coexistence across different releases of NR </w:t>
      </w:r>
      <w:proofErr w:type="spellStart"/>
      <w:r w:rsidR="002D2495" w:rsidRPr="005D66A0">
        <w:t>sidelink</w:t>
      </w:r>
      <w:proofErr w:type="spellEnd"/>
      <w:r w:rsidR="002D2495" w:rsidRPr="005D66A0">
        <w:t xml:space="preserve"> (Forward compatibility of NR </w:t>
      </w:r>
      <w:proofErr w:type="spellStart"/>
      <w:r w:rsidR="002D2495" w:rsidRPr="005D66A0">
        <w:t>sidelink</w:t>
      </w:r>
      <w:proofErr w:type="spellEnd"/>
      <w:r w:rsidR="002D2495" w:rsidRPr="005D66A0">
        <w:t>)</w:t>
      </w:r>
    </w:p>
    <w:p w14:paraId="3B03ADAC" w14:textId="77777777" w:rsidR="002D2495" w:rsidRPr="005D66A0" w:rsidRDefault="002D2495" w:rsidP="002D2495">
      <w:pPr>
        <w:pStyle w:val="BodyText"/>
      </w:pPr>
      <w:r w:rsidRPr="005D66A0">
        <w:t xml:space="preserve">It is stated in the SI description that the flexibility of NR </w:t>
      </w:r>
      <w:proofErr w:type="spellStart"/>
      <w:r w:rsidRPr="005D66A0">
        <w:t>sidelink</w:t>
      </w:r>
      <w:proofErr w:type="spellEnd"/>
      <w:r w:rsidRPr="005D66A0">
        <w:t xml:space="preserve"> framework would allow easy extension of NR system to support the future development of further advanced V2X services and other services.</w:t>
      </w:r>
      <w:r w:rsidRPr="005D66A0">
        <w:rPr>
          <w:color w:val="FFC000"/>
        </w:rPr>
        <w:t xml:space="preserve"> </w:t>
      </w:r>
      <w:r w:rsidRPr="005D66A0">
        <w:t xml:space="preserve">This forward compatibility guideline means the NR PC5 design must allow earlier </w:t>
      </w:r>
      <w:proofErr w:type="spellStart"/>
      <w:r w:rsidRPr="005D66A0">
        <w:t>sidelink</w:t>
      </w:r>
      <w:proofErr w:type="spellEnd"/>
      <w:r w:rsidRPr="005D66A0">
        <w:t xml:space="preserve"> specification (e.g., in Rel-16) to be easily extended in later releases (e.g., in Rel-17) so that:</w:t>
      </w:r>
    </w:p>
    <w:p w14:paraId="172A6685" w14:textId="77777777" w:rsidR="002D2495" w:rsidRPr="005D66A0" w:rsidRDefault="002D2495" w:rsidP="002D2495">
      <w:pPr>
        <w:pStyle w:val="BodyText"/>
        <w:numPr>
          <w:ilvl w:val="0"/>
          <w:numId w:val="26"/>
        </w:numPr>
        <w:overflowPunct/>
        <w:autoSpaceDE/>
        <w:autoSpaceDN/>
        <w:adjustRightInd/>
        <w:spacing w:line="259" w:lineRule="auto"/>
        <w:textAlignment w:val="auto"/>
      </w:pPr>
      <w:r w:rsidRPr="005D66A0">
        <w:t>Old (e.g. Rel-16) and new (e.g. Rel-17) UEs can coexist in the same radio resources without causing significant degradation to each other.</w:t>
      </w:r>
    </w:p>
    <w:p w14:paraId="50ABB749" w14:textId="77777777" w:rsidR="002D2495" w:rsidRPr="005D66A0" w:rsidRDefault="002D2495" w:rsidP="002D2495">
      <w:pPr>
        <w:pStyle w:val="BodyText"/>
        <w:numPr>
          <w:ilvl w:val="0"/>
          <w:numId w:val="26"/>
        </w:numPr>
        <w:overflowPunct/>
        <w:autoSpaceDE/>
        <w:autoSpaceDN/>
        <w:adjustRightInd/>
        <w:spacing w:line="259" w:lineRule="auto"/>
        <w:textAlignment w:val="auto"/>
      </w:pPr>
      <w:r w:rsidRPr="005D66A0">
        <w:t>Old UEs must be able to decode all the relevant control signalling to enable coexistence and efficient radio resource management.</w:t>
      </w:r>
    </w:p>
    <w:p w14:paraId="66A3437C" w14:textId="77777777" w:rsidR="002D2495" w:rsidRPr="005D66A0" w:rsidRDefault="002D2495" w:rsidP="002D2495">
      <w:pPr>
        <w:pStyle w:val="BodyText"/>
        <w:numPr>
          <w:ilvl w:val="0"/>
          <w:numId w:val="26"/>
        </w:numPr>
        <w:overflowPunct/>
        <w:autoSpaceDE/>
        <w:autoSpaceDN/>
        <w:adjustRightInd/>
        <w:spacing w:line="259" w:lineRule="auto"/>
        <w:textAlignment w:val="auto"/>
      </w:pPr>
      <w:r w:rsidRPr="005D66A0">
        <w:t>Old UEs are not required to decode message parts (control, data) that are not necessary to enable coexistence.</w:t>
      </w:r>
    </w:p>
    <w:p w14:paraId="2060CF54" w14:textId="131B6665" w:rsidR="002D2495" w:rsidRPr="005D66A0" w:rsidRDefault="002D2495" w:rsidP="002D2495">
      <w:pPr>
        <w:pStyle w:val="BodyText"/>
      </w:pPr>
      <w:r w:rsidRPr="005D66A0">
        <w:t>The above requirements have some implications on the radio design of NR PC5 as considered in</w:t>
      </w:r>
      <w:r>
        <w:t xml:space="preserve"> </w:t>
      </w:r>
      <w:r>
        <w:fldChar w:fldCharType="begin"/>
      </w:r>
      <w:r>
        <w:instrText xml:space="preserve"> REF _Ref525897967 \r \h </w:instrText>
      </w:r>
      <w:r>
        <w:fldChar w:fldCharType="separate"/>
      </w:r>
      <w:r w:rsidR="00E2668A">
        <w:t>[2]</w:t>
      </w:r>
      <w:r>
        <w:fldChar w:fldCharType="end"/>
      </w:r>
      <w:r>
        <w:t>.</w:t>
      </w:r>
    </w:p>
    <w:p w14:paraId="3CFE96D8" w14:textId="77777777" w:rsidR="002D2495" w:rsidRPr="005D66A0" w:rsidRDefault="002D2495" w:rsidP="002D2495">
      <w:pPr>
        <w:pStyle w:val="Observation"/>
        <w:overflowPunct/>
        <w:autoSpaceDE/>
        <w:autoSpaceDN/>
        <w:adjustRightInd/>
        <w:spacing w:line="259" w:lineRule="auto"/>
        <w:ind w:left="360" w:hanging="360"/>
        <w:textAlignment w:val="auto"/>
      </w:pPr>
      <w:bookmarkStart w:id="28" w:name="_Toc521686135"/>
      <w:bookmarkStart w:id="29" w:name="_Toc525928762"/>
      <w:bookmarkStart w:id="30" w:name="_Toc528954277"/>
      <w:r w:rsidRPr="005D66A0">
        <w:t>Forward compatibility of NR V2X is essential to support future V2X services.</w:t>
      </w:r>
      <w:bookmarkEnd w:id="28"/>
      <w:bookmarkEnd w:id="29"/>
      <w:bookmarkEnd w:id="30"/>
    </w:p>
    <w:p w14:paraId="0DEDA155" w14:textId="77777777" w:rsidR="002D2495" w:rsidRPr="005D66A0" w:rsidRDefault="002D2495" w:rsidP="002D2495">
      <w:pPr>
        <w:pStyle w:val="Proposal"/>
        <w:overflowPunct/>
        <w:autoSpaceDE/>
        <w:autoSpaceDN/>
        <w:adjustRightInd/>
        <w:spacing w:line="259" w:lineRule="auto"/>
        <w:textAlignment w:val="auto"/>
      </w:pPr>
      <w:bookmarkStart w:id="31" w:name="_Toc521686130"/>
      <w:bookmarkStart w:id="32" w:name="_Toc525928767"/>
      <w:bookmarkStart w:id="33" w:name="_Toc528954287"/>
      <w:r w:rsidRPr="005D66A0">
        <w:t xml:space="preserve">Forward compatibility considerations are prioritized in NR </w:t>
      </w:r>
      <w:proofErr w:type="spellStart"/>
      <w:r w:rsidRPr="005D66A0">
        <w:t>sidelink</w:t>
      </w:r>
      <w:proofErr w:type="spellEnd"/>
      <w:r w:rsidRPr="005D66A0">
        <w:t xml:space="preserve"> design.</w:t>
      </w:r>
      <w:bookmarkEnd w:id="31"/>
      <w:bookmarkEnd w:id="32"/>
      <w:bookmarkEnd w:id="33"/>
    </w:p>
    <w:p w14:paraId="3FC814B4" w14:textId="77777777" w:rsidR="002D2495" w:rsidRPr="002D2495" w:rsidRDefault="002D2495" w:rsidP="002D2495"/>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FFEE02" w14:textId="6DD7B5F8" w:rsidR="0005208A"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954275" w:history="1">
        <w:r w:rsidR="0005208A" w:rsidRPr="004B5AF9">
          <w:rPr>
            <w:rStyle w:val="Hyperlink"/>
            <w:noProof/>
          </w:rPr>
          <w:t>Observation 1</w:t>
        </w:r>
        <w:r w:rsidR="0005208A">
          <w:rPr>
            <w:rFonts w:asciiTheme="minorHAnsi" w:eastAsiaTheme="minorEastAsia" w:hAnsiTheme="minorHAnsi" w:cstheme="minorBidi"/>
            <w:b w:val="0"/>
            <w:noProof/>
            <w:sz w:val="22"/>
            <w:szCs w:val="22"/>
            <w:lang w:val="en-US" w:eastAsia="en-US"/>
          </w:rPr>
          <w:tab/>
        </w:r>
        <w:r w:rsidR="0005208A" w:rsidRPr="004B5AF9">
          <w:rPr>
            <w:rStyle w:val="Hyperlink"/>
            <w:noProof/>
          </w:rPr>
          <w:t>Both long-term and short-term coordination solutions are needed.</w:t>
        </w:r>
      </w:hyperlink>
    </w:p>
    <w:p w14:paraId="445A7A66" w14:textId="75A035FA"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76" w:history="1">
        <w:r w:rsidR="0005208A" w:rsidRPr="004B5AF9">
          <w:rPr>
            <w:rStyle w:val="Hyperlink"/>
            <w:noProof/>
          </w:rPr>
          <w:t>Observation 2</w:t>
        </w:r>
        <w:r w:rsidR="0005208A">
          <w:rPr>
            <w:rFonts w:asciiTheme="minorHAnsi" w:eastAsiaTheme="minorEastAsia" w:hAnsiTheme="minorHAnsi" w:cstheme="minorBidi"/>
            <w:b w:val="0"/>
            <w:noProof/>
            <w:sz w:val="22"/>
            <w:szCs w:val="22"/>
            <w:lang w:val="en-US" w:eastAsia="en-US"/>
          </w:rPr>
          <w:tab/>
        </w:r>
        <w:r w:rsidR="0005208A" w:rsidRPr="004B5AF9">
          <w:rPr>
            <w:rStyle w:val="Hyperlink"/>
            <w:noProof/>
          </w:rPr>
          <w:t>Any UE participating in a service may assume that its messages will be understood by all other UEs interested in the same service.</w:t>
        </w:r>
      </w:hyperlink>
    </w:p>
    <w:p w14:paraId="5E167352" w14:textId="278A2968"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77" w:history="1">
        <w:r w:rsidR="0005208A" w:rsidRPr="004B5AF9">
          <w:rPr>
            <w:rStyle w:val="Hyperlink"/>
            <w:noProof/>
          </w:rPr>
          <w:t>Observation 3</w:t>
        </w:r>
        <w:r w:rsidR="0005208A">
          <w:rPr>
            <w:rFonts w:asciiTheme="minorHAnsi" w:eastAsiaTheme="minorEastAsia" w:hAnsiTheme="minorHAnsi" w:cstheme="minorBidi"/>
            <w:b w:val="0"/>
            <w:noProof/>
            <w:sz w:val="22"/>
            <w:szCs w:val="22"/>
            <w:lang w:val="en-US" w:eastAsia="en-US"/>
          </w:rPr>
          <w:tab/>
        </w:r>
        <w:r w:rsidR="0005208A" w:rsidRPr="004B5AF9">
          <w:rPr>
            <w:rStyle w:val="Hyperlink"/>
            <w:noProof/>
          </w:rPr>
          <w:t>Forward compatibility of NR V2X is essential to support future V2X services.</w:t>
        </w:r>
      </w:hyperlink>
    </w:p>
    <w:p w14:paraId="6F3FBB3A" w14:textId="41FCD83A"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930F83" w14:textId="28405F11" w:rsidR="0005208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4278" w:history="1">
        <w:r w:rsidR="0005208A" w:rsidRPr="000B30E9">
          <w:rPr>
            <w:rStyle w:val="Hyperlink"/>
            <w:noProof/>
          </w:rPr>
          <w:t>Proposal 1</w:t>
        </w:r>
        <w:r w:rsidR="0005208A">
          <w:rPr>
            <w:rFonts w:asciiTheme="minorHAnsi" w:eastAsiaTheme="minorEastAsia" w:hAnsiTheme="minorHAnsi" w:cstheme="minorBidi"/>
            <w:b w:val="0"/>
            <w:noProof/>
            <w:sz w:val="22"/>
            <w:szCs w:val="22"/>
            <w:lang w:val="en-US" w:eastAsia="en-US"/>
          </w:rPr>
          <w:tab/>
        </w:r>
        <w:r w:rsidR="0005208A" w:rsidRPr="000B30E9">
          <w:rPr>
            <w:rStyle w:val="Hyperlink"/>
            <w:noProof/>
          </w:rPr>
          <w:t>RAT prioritization for TDM-based coexistence is only considered when the QoS framework for NR V2X has been developed.</w:t>
        </w:r>
      </w:hyperlink>
    </w:p>
    <w:p w14:paraId="0BC6C7C5" w14:textId="3A491232"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79" w:history="1">
        <w:r w:rsidR="0005208A" w:rsidRPr="000B30E9">
          <w:rPr>
            <w:rStyle w:val="Hyperlink"/>
            <w:noProof/>
          </w:rPr>
          <w:t>Proposal 2</w:t>
        </w:r>
        <w:r w:rsidR="0005208A">
          <w:rPr>
            <w:rFonts w:asciiTheme="minorHAnsi" w:eastAsiaTheme="minorEastAsia" w:hAnsiTheme="minorHAnsi" w:cstheme="minorBidi"/>
            <w:b w:val="0"/>
            <w:noProof/>
            <w:sz w:val="22"/>
            <w:szCs w:val="22"/>
            <w:lang w:val="en-US" w:eastAsia="en-US"/>
          </w:rPr>
          <w:tab/>
        </w:r>
        <w:r w:rsidR="0005208A" w:rsidRPr="000B30E9">
          <w:rPr>
            <w:rStyle w:val="Hyperlink"/>
            <w:noProof/>
          </w:rPr>
          <w:t>Both slot-boundary and DFN alignment are necessary for TDM coexistence.</w:t>
        </w:r>
      </w:hyperlink>
    </w:p>
    <w:p w14:paraId="63EA865D" w14:textId="187AE570"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0" w:history="1">
        <w:r w:rsidR="0005208A" w:rsidRPr="000B30E9">
          <w:rPr>
            <w:rStyle w:val="Hyperlink"/>
            <w:noProof/>
          </w:rPr>
          <w:t>Proposal 3</w:t>
        </w:r>
        <w:r w:rsidR="0005208A">
          <w:rPr>
            <w:rFonts w:asciiTheme="minorHAnsi" w:eastAsiaTheme="minorEastAsia" w:hAnsiTheme="minorHAnsi" w:cstheme="minorBidi"/>
            <w:b w:val="0"/>
            <w:noProof/>
            <w:sz w:val="22"/>
            <w:szCs w:val="22"/>
            <w:lang w:val="en-US" w:eastAsia="en-US"/>
          </w:rPr>
          <w:tab/>
        </w:r>
        <w:r w:rsidR="0005208A" w:rsidRPr="000B30E9">
          <w:rPr>
            <w:rStyle w:val="Hyperlink"/>
            <w:noProof/>
          </w:rPr>
          <w:t>RAN1 study mechanisms for both slot-level and DFN-level time alignment of LTE SL and NR SL. The mechanisms should consider at least the impact of numerology.</w:t>
        </w:r>
      </w:hyperlink>
    </w:p>
    <w:p w14:paraId="373187A9" w14:textId="24556F35"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1" w:history="1">
        <w:r w:rsidR="0005208A" w:rsidRPr="000B30E9">
          <w:rPr>
            <w:rStyle w:val="Hyperlink"/>
            <w:rFonts w:cs="Arial"/>
            <w:noProof/>
          </w:rPr>
          <w:t>Proposal 4</w:t>
        </w:r>
        <w:r w:rsidR="0005208A">
          <w:rPr>
            <w:rFonts w:asciiTheme="minorHAnsi" w:eastAsiaTheme="minorEastAsia" w:hAnsiTheme="minorHAnsi" w:cstheme="minorBidi"/>
            <w:b w:val="0"/>
            <w:noProof/>
            <w:sz w:val="22"/>
            <w:szCs w:val="22"/>
            <w:lang w:val="en-US" w:eastAsia="en-US"/>
          </w:rPr>
          <w:tab/>
        </w:r>
        <w:r w:rsidR="0005208A" w:rsidRPr="000B30E9">
          <w:rPr>
            <w:rStyle w:val="Hyperlink"/>
            <w:rFonts w:cs="Arial"/>
            <w:noProof/>
          </w:rPr>
          <w:t>Solutions for FDM coexistence of LTE V2X and NR V2X sidelink transmissions are introduced.</w:t>
        </w:r>
      </w:hyperlink>
    </w:p>
    <w:p w14:paraId="022E2B20" w14:textId="6F57B7F6"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2" w:history="1">
        <w:r w:rsidR="0005208A" w:rsidRPr="000B30E9">
          <w:rPr>
            <w:rStyle w:val="Hyperlink"/>
            <w:rFonts w:cs="Arial"/>
            <w:noProof/>
          </w:rPr>
          <w:t>Proposal 5</w:t>
        </w:r>
        <w:r w:rsidR="0005208A">
          <w:rPr>
            <w:rFonts w:asciiTheme="minorHAnsi" w:eastAsiaTheme="minorEastAsia" w:hAnsiTheme="minorHAnsi" w:cstheme="minorBidi"/>
            <w:b w:val="0"/>
            <w:noProof/>
            <w:sz w:val="22"/>
            <w:szCs w:val="22"/>
            <w:lang w:val="en-US" w:eastAsia="en-US"/>
          </w:rPr>
          <w:tab/>
        </w:r>
        <w:r w:rsidR="0005208A" w:rsidRPr="000B30E9">
          <w:rPr>
            <w:rStyle w:val="Hyperlink"/>
            <w:rFonts w:cs="Arial"/>
            <w:noProof/>
          </w:rPr>
          <w:t>For in-band deployment of NR SL and LTE SL in licensed carrier, from an NR point of view:</w:t>
        </w:r>
      </w:hyperlink>
    </w:p>
    <w:p w14:paraId="40391E1A" w14:textId="1938B41A" w:rsidR="0005208A" w:rsidRDefault="0005208A" w:rsidP="0005208A">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4283" w:history="1">
        <w:r w:rsidRPr="000B30E9">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0B30E9">
          <w:rPr>
            <w:rStyle w:val="Hyperlink"/>
            <w:rFonts w:cs="Arial"/>
            <w:noProof/>
          </w:rPr>
          <w:t>For same SCS, separation through non-overlapping pools is assumed.</w:t>
        </w:r>
      </w:hyperlink>
    </w:p>
    <w:p w14:paraId="6A449D1E" w14:textId="5CA3E1BE" w:rsidR="0005208A" w:rsidRDefault="00692682" w:rsidP="0005208A">
      <w:pPr>
        <w:pStyle w:val="TableofFigures"/>
        <w:tabs>
          <w:tab w:val="right" w:leader="dot" w:pos="9629"/>
        </w:tabs>
        <w:ind w:left="2127" w:hanging="283"/>
        <w:rPr>
          <w:rFonts w:asciiTheme="minorHAnsi" w:eastAsiaTheme="minorEastAsia" w:hAnsiTheme="minorHAnsi" w:cstheme="minorBidi"/>
          <w:b w:val="0"/>
          <w:noProof/>
          <w:sz w:val="22"/>
          <w:szCs w:val="22"/>
          <w:lang w:val="en-US" w:eastAsia="en-US"/>
        </w:rPr>
      </w:pPr>
      <w:hyperlink w:anchor="_Toc528954284" w:history="1">
        <w:r w:rsidR="0005208A" w:rsidRPr="000B30E9">
          <w:rPr>
            <w:rStyle w:val="Hyperlink"/>
            <w:rFonts w:ascii="Symbol" w:hAnsi="Symbol" w:cs="Arial"/>
            <w:noProof/>
          </w:rPr>
          <w:t></w:t>
        </w:r>
        <w:r w:rsidR="0005208A">
          <w:rPr>
            <w:rFonts w:asciiTheme="minorHAnsi" w:eastAsiaTheme="minorEastAsia" w:hAnsiTheme="minorHAnsi" w:cstheme="minorBidi"/>
            <w:b w:val="0"/>
            <w:noProof/>
            <w:sz w:val="22"/>
            <w:szCs w:val="22"/>
            <w:lang w:val="en-US" w:eastAsia="en-US"/>
          </w:rPr>
          <w:tab/>
        </w:r>
        <w:r w:rsidR="0005208A" w:rsidRPr="000B30E9">
          <w:rPr>
            <w:rStyle w:val="Hyperlink"/>
            <w:rFonts w:cs="Arial"/>
            <w:noProof/>
          </w:rPr>
          <w:t>For different SCS, separation through non-overlapping BWPs is assumed.</w:t>
        </w:r>
      </w:hyperlink>
    </w:p>
    <w:p w14:paraId="654C784A" w14:textId="35983246" w:rsidR="0005208A" w:rsidRDefault="0005208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5" w:history="1">
        <w:r w:rsidRPr="000B30E9">
          <w:rPr>
            <w:rStyle w:val="Hyperlink"/>
            <w:noProof/>
          </w:rPr>
          <w:t>Proposal 6</w:t>
        </w:r>
        <w:r>
          <w:rPr>
            <w:rFonts w:asciiTheme="minorHAnsi" w:eastAsiaTheme="minorEastAsia" w:hAnsiTheme="minorHAnsi" w:cstheme="minorBidi"/>
            <w:b w:val="0"/>
            <w:noProof/>
            <w:sz w:val="22"/>
            <w:szCs w:val="22"/>
            <w:lang w:val="en-US" w:eastAsia="en-US"/>
          </w:rPr>
          <w:tab/>
        </w:r>
        <w:r w:rsidRPr="000B30E9">
          <w:rPr>
            <w:rStyle w:val="Hyperlink"/>
            <w:noProof/>
          </w:rPr>
          <w:t>Interoperability is ensured at service level.</w:t>
        </w:r>
      </w:hyperlink>
    </w:p>
    <w:p w14:paraId="41AF9A68" w14:textId="29A59D13"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6" w:history="1">
        <w:r w:rsidR="0005208A" w:rsidRPr="000B30E9">
          <w:rPr>
            <w:rStyle w:val="Hyperlink"/>
            <w:noProof/>
          </w:rPr>
          <w:t>Proposal 7</w:t>
        </w:r>
        <w:r w:rsidR="0005208A">
          <w:rPr>
            <w:rFonts w:asciiTheme="minorHAnsi" w:eastAsiaTheme="minorEastAsia" w:hAnsiTheme="minorHAnsi" w:cstheme="minorBidi"/>
            <w:b w:val="0"/>
            <w:noProof/>
            <w:sz w:val="22"/>
            <w:szCs w:val="22"/>
            <w:lang w:val="en-US" w:eastAsia="en-US"/>
          </w:rPr>
          <w:tab/>
        </w:r>
        <w:r w:rsidR="0005208A" w:rsidRPr="000B30E9">
          <w:rPr>
            <w:rStyle w:val="Hyperlink"/>
            <w:noProof/>
          </w:rPr>
          <w:t>RAN2 to lead the study on interoperability at service level.</w:t>
        </w:r>
      </w:hyperlink>
    </w:p>
    <w:p w14:paraId="08C3545D" w14:textId="5E06A788" w:rsidR="0005208A" w:rsidRDefault="006926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54287" w:history="1">
        <w:r w:rsidR="0005208A" w:rsidRPr="000B30E9">
          <w:rPr>
            <w:rStyle w:val="Hyperlink"/>
            <w:noProof/>
          </w:rPr>
          <w:t>Proposal 8</w:t>
        </w:r>
        <w:r w:rsidR="0005208A">
          <w:rPr>
            <w:rFonts w:asciiTheme="minorHAnsi" w:eastAsiaTheme="minorEastAsia" w:hAnsiTheme="minorHAnsi" w:cstheme="minorBidi"/>
            <w:b w:val="0"/>
            <w:noProof/>
            <w:sz w:val="22"/>
            <w:szCs w:val="22"/>
            <w:lang w:val="en-US" w:eastAsia="en-US"/>
          </w:rPr>
          <w:tab/>
        </w:r>
        <w:r w:rsidR="0005208A" w:rsidRPr="000B30E9">
          <w:rPr>
            <w:rStyle w:val="Hyperlink"/>
            <w:noProof/>
          </w:rPr>
          <w:t>Forward compatibility considerations are prioritized in NR sidelink design.</w:t>
        </w:r>
      </w:hyperlink>
    </w:p>
    <w:p w14:paraId="5A1EB9E8" w14:textId="3D44CDA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4" w:name="_In-sequence_SDU_delivery"/>
      <w:bookmarkEnd w:id="34"/>
      <w:r w:rsidRPr="00CE0424">
        <w:t>References</w:t>
      </w:r>
    </w:p>
    <w:p w14:paraId="0FD0788B" w14:textId="77777777" w:rsidR="00ED5CD7" w:rsidRPr="00D71631" w:rsidRDefault="00ED5CD7" w:rsidP="00ED5CD7">
      <w:pPr>
        <w:pStyle w:val="Reference"/>
        <w:overflowPunct/>
        <w:autoSpaceDE/>
        <w:autoSpaceDN/>
        <w:adjustRightInd/>
        <w:spacing w:line="259" w:lineRule="auto"/>
        <w:textAlignment w:val="auto"/>
      </w:pPr>
      <w:bookmarkStart w:id="35" w:name="_Ref517523976"/>
      <w:bookmarkStart w:id="36" w:name="_Ref525898183"/>
      <w:bookmarkStart w:id="37" w:name="_Ref174151459"/>
      <w:bookmarkStart w:id="38" w:name="_Ref189809556"/>
      <w:r w:rsidRPr="00D71631">
        <w:t>RP-1814</w:t>
      </w:r>
      <w:r>
        <w:t>80</w:t>
      </w:r>
      <w:r w:rsidRPr="00D71631">
        <w:t xml:space="preserve">, </w:t>
      </w:r>
      <w:r>
        <w:t>“</w:t>
      </w:r>
      <w:r w:rsidRPr="00D71631">
        <w:t>New SID: Study on NR V2X</w:t>
      </w:r>
      <w:r>
        <w:t>”</w:t>
      </w:r>
      <w:r w:rsidRPr="00D71631">
        <w:t>, 3GPP TSG RAN Meeting #80, June 2018</w:t>
      </w:r>
      <w:bookmarkEnd w:id="35"/>
      <w:r w:rsidRPr="00D71631">
        <w:t>.</w:t>
      </w:r>
      <w:bookmarkEnd w:id="36"/>
    </w:p>
    <w:p w14:paraId="4BAD1ED9" w14:textId="73E2264A" w:rsidR="00ED5CD7" w:rsidRPr="003B3584" w:rsidRDefault="003B3584" w:rsidP="00ED5CD7">
      <w:pPr>
        <w:pStyle w:val="Reference"/>
        <w:overflowPunct/>
        <w:autoSpaceDE/>
        <w:autoSpaceDN/>
        <w:adjustRightInd/>
        <w:spacing w:line="259" w:lineRule="auto"/>
        <w:textAlignment w:val="auto"/>
      </w:pPr>
      <w:bookmarkStart w:id="39" w:name="_Ref525736961"/>
      <w:r w:rsidRPr="003B3584">
        <w:t>R1-1813638</w:t>
      </w:r>
      <w:r w:rsidR="00ED5CD7" w:rsidRPr="003B3584">
        <w:t>, “Physical layer structures of NR V2X”, Ericsson, RAN1</w:t>
      </w:r>
      <w:r w:rsidR="003664DE" w:rsidRPr="003B3584">
        <w:t xml:space="preserve"> </w:t>
      </w:r>
      <w:r w:rsidR="00ED5CD7" w:rsidRPr="003B3584">
        <w:t>#9</w:t>
      </w:r>
      <w:r w:rsidR="003664DE" w:rsidRPr="003B3584">
        <w:t>5</w:t>
      </w:r>
      <w:r w:rsidR="00ED5CD7" w:rsidRPr="003B3584">
        <w:t xml:space="preserve">, </w:t>
      </w:r>
      <w:r w:rsidR="003664DE" w:rsidRPr="003B3584">
        <w:t>Nov</w:t>
      </w:r>
      <w:r w:rsidR="00ED5CD7" w:rsidRPr="003B3584">
        <w:t xml:space="preserve">. </w:t>
      </w:r>
      <w:bookmarkStart w:id="40" w:name="_Ref525897967"/>
      <w:bookmarkEnd w:id="39"/>
      <w:r w:rsidR="00ED5CD7" w:rsidRPr="003B3584">
        <w:t>2018</w:t>
      </w:r>
      <w:bookmarkEnd w:id="40"/>
    </w:p>
    <w:p w14:paraId="5D811639" w14:textId="560D2F62" w:rsidR="003664DE" w:rsidRPr="003B3584" w:rsidRDefault="003B3584" w:rsidP="00ED5CD7">
      <w:pPr>
        <w:pStyle w:val="Reference"/>
        <w:overflowPunct/>
        <w:autoSpaceDE/>
        <w:autoSpaceDN/>
        <w:adjustRightInd/>
        <w:spacing w:line="259" w:lineRule="auto"/>
        <w:textAlignment w:val="auto"/>
      </w:pPr>
      <w:bookmarkStart w:id="41" w:name="_Ref525897324"/>
      <w:r w:rsidRPr="003B3584">
        <w:t>R1-1813651</w:t>
      </w:r>
      <w:r w:rsidR="003664DE" w:rsidRPr="003B3584">
        <w:t>, “</w:t>
      </w:r>
      <w:proofErr w:type="spellStart"/>
      <w:r w:rsidR="003664DE" w:rsidRPr="003B3584">
        <w:t>Uu</w:t>
      </w:r>
      <w:proofErr w:type="spellEnd"/>
      <w:r w:rsidR="003664DE" w:rsidRPr="003B3584">
        <w:t xml:space="preserve"> based resource allocation and configuration for SL”, Ericsson, RAN1 #95, Nov. 2018.</w:t>
      </w:r>
      <w:bookmarkEnd w:id="41"/>
    </w:p>
    <w:bookmarkEnd w:id="37"/>
    <w:bookmarkEnd w:id="38"/>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55A90" w14:textId="77777777" w:rsidR="00692682" w:rsidRDefault="00692682">
      <w:r>
        <w:separator/>
      </w:r>
    </w:p>
  </w:endnote>
  <w:endnote w:type="continuationSeparator" w:id="0">
    <w:p w14:paraId="380CAF58" w14:textId="77777777" w:rsidR="00692682" w:rsidRDefault="0069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60427" w14:textId="77777777" w:rsidR="00692682" w:rsidRDefault="00692682">
      <w:r>
        <w:separator/>
      </w:r>
    </w:p>
  </w:footnote>
  <w:footnote w:type="continuationSeparator" w:id="0">
    <w:p w14:paraId="14CFDED7" w14:textId="77777777" w:rsidR="00692682" w:rsidRDefault="00692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DB1"/>
    <w:multiLevelType w:val="hybridMultilevel"/>
    <w:tmpl w:val="3858D2B6"/>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B2735"/>
    <w:multiLevelType w:val="hybridMultilevel"/>
    <w:tmpl w:val="CD94315C"/>
    <w:lvl w:ilvl="0" w:tplc="554EEA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E46BB6"/>
    <w:multiLevelType w:val="hybridMultilevel"/>
    <w:tmpl w:val="05A2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B5600"/>
    <w:multiLevelType w:val="hybridMultilevel"/>
    <w:tmpl w:val="092C4AE2"/>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1"/>
  </w:num>
  <w:num w:numId="3">
    <w:abstractNumId w:val="14"/>
  </w:num>
  <w:num w:numId="4">
    <w:abstractNumId w:val="15"/>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8"/>
  </w:num>
  <w:num w:numId="18">
    <w:abstractNumId w:val="9"/>
  </w:num>
  <w:num w:numId="19">
    <w:abstractNumId w:val="6"/>
  </w:num>
  <w:num w:numId="20">
    <w:abstractNumId w:val="27"/>
  </w:num>
  <w:num w:numId="21">
    <w:abstractNumId w:val="13"/>
  </w:num>
  <w:num w:numId="22">
    <w:abstractNumId w:val="26"/>
  </w:num>
  <w:num w:numId="23">
    <w:abstractNumId w:val="3"/>
  </w:num>
  <w:num w:numId="24">
    <w:abstractNumId w:val="20"/>
  </w:num>
  <w:num w:numId="25">
    <w:abstractNumId w:val="4"/>
  </w:num>
  <w:num w:numId="26">
    <w:abstractNumId w:val="17"/>
  </w:num>
  <w:num w:numId="27">
    <w:abstractNumId w:val="7"/>
  </w:num>
  <w:num w:numId="28">
    <w:abstractNumId w:val="19"/>
  </w:num>
  <w:num w:numId="29">
    <w:abstractNumId w:val="14"/>
  </w:num>
  <w:num w:numId="30">
    <w:abstractNumId w:val="14"/>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49C6"/>
    <w:rsid w:val="0002564D"/>
    <w:rsid w:val="00025ECA"/>
    <w:rsid w:val="000325B8"/>
    <w:rsid w:val="00034C15"/>
    <w:rsid w:val="00036BA1"/>
    <w:rsid w:val="000422E2"/>
    <w:rsid w:val="00042F22"/>
    <w:rsid w:val="000444EF"/>
    <w:rsid w:val="0005208A"/>
    <w:rsid w:val="00052A07"/>
    <w:rsid w:val="000534E3"/>
    <w:rsid w:val="0005606A"/>
    <w:rsid w:val="00057117"/>
    <w:rsid w:val="000616E7"/>
    <w:rsid w:val="0006487E"/>
    <w:rsid w:val="00065E1A"/>
    <w:rsid w:val="00077E5F"/>
    <w:rsid w:val="0008036A"/>
    <w:rsid w:val="0008194B"/>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E22"/>
    <w:rsid w:val="000D0D07"/>
    <w:rsid w:val="000D4797"/>
    <w:rsid w:val="000E0527"/>
    <w:rsid w:val="000E1E92"/>
    <w:rsid w:val="000F06D6"/>
    <w:rsid w:val="000F0EB1"/>
    <w:rsid w:val="000F1106"/>
    <w:rsid w:val="000F3BE9"/>
    <w:rsid w:val="000F3F6C"/>
    <w:rsid w:val="000F6DF3"/>
    <w:rsid w:val="000F7F25"/>
    <w:rsid w:val="001005FF"/>
    <w:rsid w:val="001062FB"/>
    <w:rsid w:val="001063E6"/>
    <w:rsid w:val="00113CF4"/>
    <w:rsid w:val="001153EA"/>
    <w:rsid w:val="00115643"/>
    <w:rsid w:val="00116765"/>
    <w:rsid w:val="001219F5"/>
    <w:rsid w:val="00121A20"/>
    <w:rsid w:val="00121A61"/>
    <w:rsid w:val="0012377F"/>
    <w:rsid w:val="00124314"/>
    <w:rsid w:val="00125DE0"/>
    <w:rsid w:val="00126B4A"/>
    <w:rsid w:val="00132FD0"/>
    <w:rsid w:val="001344C0"/>
    <w:rsid w:val="001346FA"/>
    <w:rsid w:val="00135252"/>
    <w:rsid w:val="00137AB5"/>
    <w:rsid w:val="00137F0B"/>
    <w:rsid w:val="00151E23"/>
    <w:rsid w:val="001526E0"/>
    <w:rsid w:val="001539EC"/>
    <w:rsid w:val="001551B5"/>
    <w:rsid w:val="001602BB"/>
    <w:rsid w:val="001659C1"/>
    <w:rsid w:val="00173A8E"/>
    <w:rsid w:val="0017502C"/>
    <w:rsid w:val="00181272"/>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530"/>
    <w:rsid w:val="001D6342"/>
    <w:rsid w:val="001D6D53"/>
    <w:rsid w:val="001E58E2"/>
    <w:rsid w:val="001E7AED"/>
    <w:rsid w:val="001F3916"/>
    <w:rsid w:val="001F54C5"/>
    <w:rsid w:val="001F662C"/>
    <w:rsid w:val="001F7074"/>
    <w:rsid w:val="00200490"/>
    <w:rsid w:val="0020172E"/>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0D2E"/>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137"/>
    <w:rsid w:val="002805F5"/>
    <w:rsid w:val="00280751"/>
    <w:rsid w:val="0028280A"/>
    <w:rsid w:val="00286ACD"/>
    <w:rsid w:val="00287838"/>
    <w:rsid w:val="002907B5"/>
    <w:rsid w:val="00292078"/>
    <w:rsid w:val="00292EB7"/>
    <w:rsid w:val="00296227"/>
    <w:rsid w:val="00296F44"/>
    <w:rsid w:val="0029777D"/>
    <w:rsid w:val="002A055E"/>
    <w:rsid w:val="002A1D4E"/>
    <w:rsid w:val="002A2533"/>
    <w:rsid w:val="002A2869"/>
    <w:rsid w:val="002B164F"/>
    <w:rsid w:val="002B24D6"/>
    <w:rsid w:val="002C41E6"/>
    <w:rsid w:val="002D071A"/>
    <w:rsid w:val="002D2495"/>
    <w:rsid w:val="002D34B2"/>
    <w:rsid w:val="002D48B0"/>
    <w:rsid w:val="002D5B37"/>
    <w:rsid w:val="002D7637"/>
    <w:rsid w:val="002E17F2"/>
    <w:rsid w:val="002E4D2C"/>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7C9"/>
    <w:rsid w:val="00331751"/>
    <w:rsid w:val="00334579"/>
    <w:rsid w:val="00335858"/>
    <w:rsid w:val="00336BDA"/>
    <w:rsid w:val="00342BD7"/>
    <w:rsid w:val="00345495"/>
    <w:rsid w:val="00346DB5"/>
    <w:rsid w:val="003477B1"/>
    <w:rsid w:val="00357348"/>
    <w:rsid w:val="00357380"/>
    <w:rsid w:val="003602D9"/>
    <w:rsid w:val="003604CE"/>
    <w:rsid w:val="003664DE"/>
    <w:rsid w:val="00370E47"/>
    <w:rsid w:val="003742AC"/>
    <w:rsid w:val="00377CE1"/>
    <w:rsid w:val="00385BF0"/>
    <w:rsid w:val="003939FF"/>
    <w:rsid w:val="003A2223"/>
    <w:rsid w:val="003A2A0F"/>
    <w:rsid w:val="003A45A1"/>
    <w:rsid w:val="003A5B0A"/>
    <w:rsid w:val="003A5FD9"/>
    <w:rsid w:val="003A6BAC"/>
    <w:rsid w:val="003A70A4"/>
    <w:rsid w:val="003A7EF3"/>
    <w:rsid w:val="003B159C"/>
    <w:rsid w:val="003B3584"/>
    <w:rsid w:val="003B369F"/>
    <w:rsid w:val="003B36A3"/>
    <w:rsid w:val="003B5B63"/>
    <w:rsid w:val="003B64BB"/>
    <w:rsid w:val="003B7FE5"/>
    <w:rsid w:val="003C11C8"/>
    <w:rsid w:val="003C2702"/>
    <w:rsid w:val="003C47D9"/>
    <w:rsid w:val="003C7806"/>
    <w:rsid w:val="003D109F"/>
    <w:rsid w:val="003D2478"/>
    <w:rsid w:val="003D3C45"/>
    <w:rsid w:val="003D5B1F"/>
    <w:rsid w:val="003E15FA"/>
    <w:rsid w:val="003E55E4"/>
    <w:rsid w:val="003E74E3"/>
    <w:rsid w:val="003F05C7"/>
    <w:rsid w:val="003F121E"/>
    <w:rsid w:val="003F2CD4"/>
    <w:rsid w:val="003F6BBE"/>
    <w:rsid w:val="004000E8"/>
    <w:rsid w:val="00402E2B"/>
    <w:rsid w:val="0040512B"/>
    <w:rsid w:val="00405CA5"/>
    <w:rsid w:val="00407CD3"/>
    <w:rsid w:val="00410134"/>
    <w:rsid w:val="00410B72"/>
    <w:rsid w:val="00410DA1"/>
    <w:rsid w:val="00410F18"/>
    <w:rsid w:val="0041263E"/>
    <w:rsid w:val="00413AAC"/>
    <w:rsid w:val="00413E92"/>
    <w:rsid w:val="00421105"/>
    <w:rsid w:val="004217D9"/>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3DE2"/>
    <w:rsid w:val="004D7EBD"/>
    <w:rsid w:val="004E2680"/>
    <w:rsid w:val="004E28F9"/>
    <w:rsid w:val="004E462E"/>
    <w:rsid w:val="004E56DC"/>
    <w:rsid w:val="004E76F4"/>
    <w:rsid w:val="004F0B4E"/>
    <w:rsid w:val="004F0B6C"/>
    <w:rsid w:val="004F2078"/>
    <w:rsid w:val="004F4DA3"/>
    <w:rsid w:val="005009E2"/>
    <w:rsid w:val="00506557"/>
    <w:rsid w:val="0050677A"/>
    <w:rsid w:val="005108D8"/>
    <w:rsid w:val="005116F9"/>
    <w:rsid w:val="005153A7"/>
    <w:rsid w:val="005219CF"/>
    <w:rsid w:val="00534B59"/>
    <w:rsid w:val="00536759"/>
    <w:rsid w:val="00537C62"/>
    <w:rsid w:val="00546970"/>
    <w:rsid w:val="00554E19"/>
    <w:rsid w:val="0056121F"/>
    <w:rsid w:val="00563B69"/>
    <w:rsid w:val="00572505"/>
    <w:rsid w:val="00581E7C"/>
    <w:rsid w:val="00582809"/>
    <w:rsid w:val="0058798C"/>
    <w:rsid w:val="005900FA"/>
    <w:rsid w:val="005935A4"/>
    <w:rsid w:val="005948C2"/>
    <w:rsid w:val="00595DCA"/>
    <w:rsid w:val="0059779B"/>
    <w:rsid w:val="00597F04"/>
    <w:rsid w:val="005A054A"/>
    <w:rsid w:val="005A209A"/>
    <w:rsid w:val="005A662D"/>
    <w:rsid w:val="005A68C3"/>
    <w:rsid w:val="005B09E5"/>
    <w:rsid w:val="005B1409"/>
    <w:rsid w:val="005B35D7"/>
    <w:rsid w:val="005B392A"/>
    <w:rsid w:val="005B3AA3"/>
    <w:rsid w:val="005B6F83"/>
    <w:rsid w:val="005C74FB"/>
    <w:rsid w:val="005D1602"/>
    <w:rsid w:val="005D2D9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CA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294"/>
    <w:rsid w:val="006741F2"/>
    <w:rsid w:val="00674CC3"/>
    <w:rsid w:val="00675C72"/>
    <w:rsid w:val="006771F9"/>
    <w:rsid w:val="006776D7"/>
    <w:rsid w:val="00681003"/>
    <w:rsid w:val="006817C9"/>
    <w:rsid w:val="00683ECE"/>
    <w:rsid w:val="00692682"/>
    <w:rsid w:val="00695FC2"/>
    <w:rsid w:val="00696949"/>
    <w:rsid w:val="00697052"/>
    <w:rsid w:val="006A1473"/>
    <w:rsid w:val="006A46FB"/>
    <w:rsid w:val="006A5E28"/>
    <w:rsid w:val="006A697B"/>
    <w:rsid w:val="006A7AFF"/>
    <w:rsid w:val="006B1494"/>
    <w:rsid w:val="006B1816"/>
    <w:rsid w:val="006B2099"/>
    <w:rsid w:val="006B50CF"/>
    <w:rsid w:val="006C03B8"/>
    <w:rsid w:val="006C2008"/>
    <w:rsid w:val="006C5EC9"/>
    <w:rsid w:val="006C6059"/>
    <w:rsid w:val="006C7522"/>
    <w:rsid w:val="006D6F08"/>
    <w:rsid w:val="006D7DDA"/>
    <w:rsid w:val="006E062C"/>
    <w:rsid w:val="006E1C82"/>
    <w:rsid w:val="006E28B7"/>
    <w:rsid w:val="006E2A9B"/>
    <w:rsid w:val="006E3310"/>
    <w:rsid w:val="006E4842"/>
    <w:rsid w:val="006E4E39"/>
    <w:rsid w:val="006E565E"/>
    <w:rsid w:val="006E673D"/>
    <w:rsid w:val="006E7D3B"/>
    <w:rsid w:val="006F1B70"/>
    <w:rsid w:val="006F341D"/>
    <w:rsid w:val="006F3CDE"/>
    <w:rsid w:val="006F4D58"/>
    <w:rsid w:val="006F58D4"/>
    <w:rsid w:val="006F6582"/>
    <w:rsid w:val="0070346E"/>
    <w:rsid w:val="00704EDB"/>
    <w:rsid w:val="00706101"/>
    <w:rsid w:val="00707072"/>
    <w:rsid w:val="00707D61"/>
    <w:rsid w:val="00712287"/>
    <w:rsid w:val="00712772"/>
    <w:rsid w:val="00713DD1"/>
    <w:rsid w:val="007148D3"/>
    <w:rsid w:val="00715B9A"/>
    <w:rsid w:val="0072448E"/>
    <w:rsid w:val="007257D0"/>
    <w:rsid w:val="007264AE"/>
    <w:rsid w:val="00726EA6"/>
    <w:rsid w:val="00727208"/>
    <w:rsid w:val="00727680"/>
    <w:rsid w:val="007330D6"/>
    <w:rsid w:val="007347F1"/>
    <w:rsid w:val="007348B1"/>
    <w:rsid w:val="007362A6"/>
    <w:rsid w:val="00736D7D"/>
    <w:rsid w:val="00740E58"/>
    <w:rsid w:val="007445A0"/>
    <w:rsid w:val="0074524B"/>
    <w:rsid w:val="00747D8B"/>
    <w:rsid w:val="00751228"/>
    <w:rsid w:val="007571E1"/>
    <w:rsid w:val="007604B2"/>
    <w:rsid w:val="00762EE2"/>
    <w:rsid w:val="00765281"/>
    <w:rsid w:val="00766BAD"/>
    <w:rsid w:val="007729A2"/>
    <w:rsid w:val="00773EC2"/>
    <w:rsid w:val="007754B8"/>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E00"/>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0A0"/>
    <w:rsid w:val="00810478"/>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0CEA"/>
    <w:rsid w:val="00856911"/>
    <w:rsid w:val="00861B99"/>
    <w:rsid w:val="00866221"/>
    <w:rsid w:val="008677FD"/>
    <w:rsid w:val="008706D4"/>
    <w:rsid w:val="00870F8A"/>
    <w:rsid w:val="008719A4"/>
    <w:rsid w:val="00871D23"/>
    <w:rsid w:val="00874312"/>
    <w:rsid w:val="0087437C"/>
    <w:rsid w:val="00875CD7"/>
    <w:rsid w:val="00876B4D"/>
    <w:rsid w:val="00877F18"/>
    <w:rsid w:val="00884F72"/>
    <w:rsid w:val="008941E3"/>
    <w:rsid w:val="00894A88"/>
    <w:rsid w:val="00895386"/>
    <w:rsid w:val="0089633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B2"/>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C79"/>
    <w:rsid w:val="0096430A"/>
    <w:rsid w:val="0096554B"/>
    <w:rsid w:val="0096584A"/>
    <w:rsid w:val="00971F08"/>
    <w:rsid w:val="0097603D"/>
    <w:rsid w:val="00976949"/>
    <w:rsid w:val="00980477"/>
    <w:rsid w:val="00984522"/>
    <w:rsid w:val="00985253"/>
    <w:rsid w:val="009853B3"/>
    <w:rsid w:val="009863CE"/>
    <w:rsid w:val="00990630"/>
    <w:rsid w:val="00991761"/>
    <w:rsid w:val="00994DCA"/>
    <w:rsid w:val="009960EC"/>
    <w:rsid w:val="009970DD"/>
    <w:rsid w:val="00997D50"/>
    <w:rsid w:val="009A0FBA"/>
    <w:rsid w:val="009A1601"/>
    <w:rsid w:val="009A3BB6"/>
    <w:rsid w:val="009A462D"/>
    <w:rsid w:val="009A5CBA"/>
    <w:rsid w:val="009B1F30"/>
    <w:rsid w:val="009B3AC2"/>
    <w:rsid w:val="009B47F7"/>
    <w:rsid w:val="009B4DF4"/>
    <w:rsid w:val="009B564E"/>
    <w:rsid w:val="009B7E87"/>
    <w:rsid w:val="009C0169"/>
    <w:rsid w:val="009C403E"/>
    <w:rsid w:val="009D4FF0"/>
    <w:rsid w:val="009D703C"/>
    <w:rsid w:val="009D718F"/>
    <w:rsid w:val="009E068F"/>
    <w:rsid w:val="009E14E0"/>
    <w:rsid w:val="009E2A95"/>
    <w:rsid w:val="009E35DB"/>
    <w:rsid w:val="009E47A3"/>
    <w:rsid w:val="009E756E"/>
    <w:rsid w:val="009F08F3"/>
    <w:rsid w:val="009F344F"/>
    <w:rsid w:val="00A031D8"/>
    <w:rsid w:val="00A048A8"/>
    <w:rsid w:val="00A04F49"/>
    <w:rsid w:val="00A1216A"/>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004"/>
    <w:rsid w:val="00A52E1D"/>
    <w:rsid w:val="00A61499"/>
    <w:rsid w:val="00A62A77"/>
    <w:rsid w:val="00A63483"/>
    <w:rsid w:val="00A657D7"/>
    <w:rsid w:val="00A660AC"/>
    <w:rsid w:val="00A67E6C"/>
    <w:rsid w:val="00A71B99"/>
    <w:rsid w:val="00A739D0"/>
    <w:rsid w:val="00A761D4"/>
    <w:rsid w:val="00A77EC4"/>
    <w:rsid w:val="00A8559F"/>
    <w:rsid w:val="00A92879"/>
    <w:rsid w:val="00A9442A"/>
    <w:rsid w:val="00AA016F"/>
    <w:rsid w:val="00AA1ED6"/>
    <w:rsid w:val="00AA51D6"/>
    <w:rsid w:val="00AB0BC8"/>
    <w:rsid w:val="00AB11CA"/>
    <w:rsid w:val="00AB14D9"/>
    <w:rsid w:val="00AB2BA3"/>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0068"/>
    <w:rsid w:val="00AF06A2"/>
    <w:rsid w:val="00AF1C5D"/>
    <w:rsid w:val="00AF42D7"/>
    <w:rsid w:val="00B006FE"/>
    <w:rsid w:val="00B007CB"/>
    <w:rsid w:val="00B02AA9"/>
    <w:rsid w:val="00B02FA3"/>
    <w:rsid w:val="00B05084"/>
    <w:rsid w:val="00B12547"/>
    <w:rsid w:val="00B1377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057C"/>
    <w:rsid w:val="00B81A6C"/>
    <w:rsid w:val="00B85DE5"/>
    <w:rsid w:val="00B90F73"/>
    <w:rsid w:val="00B93B59"/>
    <w:rsid w:val="00B9406A"/>
    <w:rsid w:val="00B95B09"/>
    <w:rsid w:val="00BA2280"/>
    <w:rsid w:val="00BA2A08"/>
    <w:rsid w:val="00BA56D2"/>
    <w:rsid w:val="00BA76E0"/>
    <w:rsid w:val="00BB10A7"/>
    <w:rsid w:val="00BB2A25"/>
    <w:rsid w:val="00BB4AFF"/>
    <w:rsid w:val="00BB51E9"/>
    <w:rsid w:val="00BC0FDC"/>
    <w:rsid w:val="00BC3053"/>
    <w:rsid w:val="00BC4170"/>
    <w:rsid w:val="00BC4D2E"/>
    <w:rsid w:val="00BD48AC"/>
    <w:rsid w:val="00BD5F1A"/>
    <w:rsid w:val="00BE1234"/>
    <w:rsid w:val="00BE2FA6"/>
    <w:rsid w:val="00BE333F"/>
    <w:rsid w:val="00BE7406"/>
    <w:rsid w:val="00BE7603"/>
    <w:rsid w:val="00BF3279"/>
    <w:rsid w:val="00BF74C7"/>
    <w:rsid w:val="00C015F1"/>
    <w:rsid w:val="00C01F33"/>
    <w:rsid w:val="00C029D5"/>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0098"/>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464C"/>
    <w:rsid w:val="00CF625B"/>
    <w:rsid w:val="00CF687E"/>
    <w:rsid w:val="00D0349B"/>
    <w:rsid w:val="00D10249"/>
    <w:rsid w:val="00D115C3"/>
    <w:rsid w:val="00D11897"/>
    <w:rsid w:val="00D13135"/>
    <w:rsid w:val="00D13E4E"/>
    <w:rsid w:val="00D239A7"/>
    <w:rsid w:val="00D23F47"/>
    <w:rsid w:val="00D3554B"/>
    <w:rsid w:val="00D36E71"/>
    <w:rsid w:val="00D37D87"/>
    <w:rsid w:val="00D40B33"/>
    <w:rsid w:val="00D4318F"/>
    <w:rsid w:val="00D438BF"/>
    <w:rsid w:val="00D440F8"/>
    <w:rsid w:val="00D50098"/>
    <w:rsid w:val="00D546FF"/>
    <w:rsid w:val="00D55AD5"/>
    <w:rsid w:val="00D576CA"/>
    <w:rsid w:val="00D61AF5"/>
    <w:rsid w:val="00D652B5"/>
    <w:rsid w:val="00D66155"/>
    <w:rsid w:val="00D708B0"/>
    <w:rsid w:val="00D74C7A"/>
    <w:rsid w:val="00D77B1D"/>
    <w:rsid w:val="00D8021F"/>
    <w:rsid w:val="00D80383"/>
    <w:rsid w:val="00D823C6"/>
    <w:rsid w:val="00D8327F"/>
    <w:rsid w:val="00D86CA3"/>
    <w:rsid w:val="00D871CE"/>
    <w:rsid w:val="00D9196D"/>
    <w:rsid w:val="00D92982"/>
    <w:rsid w:val="00DA0F05"/>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68A"/>
    <w:rsid w:val="00E30B5A"/>
    <w:rsid w:val="00E3123D"/>
    <w:rsid w:val="00E31461"/>
    <w:rsid w:val="00E31D43"/>
    <w:rsid w:val="00E32608"/>
    <w:rsid w:val="00E34188"/>
    <w:rsid w:val="00E34B6E"/>
    <w:rsid w:val="00E35559"/>
    <w:rsid w:val="00E35FDA"/>
    <w:rsid w:val="00E367A9"/>
    <w:rsid w:val="00E3723A"/>
    <w:rsid w:val="00E37860"/>
    <w:rsid w:val="00E446F1"/>
    <w:rsid w:val="00E44A1A"/>
    <w:rsid w:val="00E44C11"/>
    <w:rsid w:val="00E46886"/>
    <w:rsid w:val="00E47AEF"/>
    <w:rsid w:val="00E53B75"/>
    <w:rsid w:val="00E54E3B"/>
    <w:rsid w:val="00E57565"/>
    <w:rsid w:val="00E63838"/>
    <w:rsid w:val="00E64434"/>
    <w:rsid w:val="00E67C51"/>
    <w:rsid w:val="00E72545"/>
    <w:rsid w:val="00E72EFC"/>
    <w:rsid w:val="00E758EC"/>
    <w:rsid w:val="00E8234C"/>
    <w:rsid w:val="00E83AA9"/>
    <w:rsid w:val="00E84884"/>
    <w:rsid w:val="00E85928"/>
    <w:rsid w:val="00E86B98"/>
    <w:rsid w:val="00E87822"/>
    <w:rsid w:val="00E87FD8"/>
    <w:rsid w:val="00E90395"/>
    <w:rsid w:val="00E90E49"/>
    <w:rsid w:val="00E917F9"/>
    <w:rsid w:val="00E9291C"/>
    <w:rsid w:val="00E93FFE"/>
    <w:rsid w:val="00E94F8A"/>
    <w:rsid w:val="00EA7A41"/>
    <w:rsid w:val="00EB077B"/>
    <w:rsid w:val="00EB4EA2"/>
    <w:rsid w:val="00EC24D5"/>
    <w:rsid w:val="00EC27C6"/>
    <w:rsid w:val="00EC4207"/>
    <w:rsid w:val="00EC55FA"/>
    <w:rsid w:val="00EC5653"/>
    <w:rsid w:val="00EC71CE"/>
    <w:rsid w:val="00ED1006"/>
    <w:rsid w:val="00ED2E38"/>
    <w:rsid w:val="00ED5CD7"/>
    <w:rsid w:val="00EF18FE"/>
    <w:rsid w:val="00EF4777"/>
    <w:rsid w:val="00EF5787"/>
    <w:rsid w:val="00EF60D0"/>
    <w:rsid w:val="00F0528D"/>
    <w:rsid w:val="00F06C67"/>
    <w:rsid w:val="00F06DFD"/>
    <w:rsid w:val="00F071D1"/>
    <w:rsid w:val="00F07533"/>
    <w:rsid w:val="00F10629"/>
    <w:rsid w:val="00F12F7F"/>
    <w:rsid w:val="00F15FA5"/>
    <w:rsid w:val="00F209B7"/>
    <w:rsid w:val="00F2376F"/>
    <w:rsid w:val="00F243D8"/>
    <w:rsid w:val="00F24F52"/>
    <w:rsid w:val="00F30828"/>
    <w:rsid w:val="00F313D6"/>
    <w:rsid w:val="00F40F0C"/>
    <w:rsid w:val="00F4766C"/>
    <w:rsid w:val="00F5060E"/>
    <w:rsid w:val="00F507D1"/>
    <w:rsid w:val="00F519CE"/>
    <w:rsid w:val="00F51ADA"/>
    <w:rsid w:val="00F52E27"/>
    <w:rsid w:val="00F60203"/>
    <w:rsid w:val="00F607C5"/>
    <w:rsid w:val="00F60DEA"/>
    <w:rsid w:val="00F61E29"/>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E53"/>
    <w:rsid w:val="00FA2BB3"/>
    <w:rsid w:val="00FB4C80"/>
    <w:rsid w:val="00FB6A6A"/>
    <w:rsid w:val="00FC7429"/>
    <w:rsid w:val="00FD07F6"/>
    <w:rsid w:val="00FD1EC8"/>
    <w:rsid w:val="00FD47ED"/>
    <w:rsid w:val="00FD74DB"/>
    <w:rsid w:val="00FD7660"/>
    <w:rsid w:val="00FE0655"/>
    <w:rsid w:val="00FE2365"/>
    <w:rsid w:val="00FE37D7"/>
    <w:rsid w:val="00FE4C7B"/>
    <w:rsid w:val="00FE53F3"/>
    <w:rsid w:val="00FE7336"/>
    <w:rsid w:val="00FE787C"/>
    <w:rsid w:val="00FE7FD8"/>
    <w:rsid w:val="00FF06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2018-11-02T18:36:00Z</dcterms:created>
  <dcterms:modified xsi:type="dcterms:W3CDTF">2018-11-02T18:36:00Z</dcterms:modified>
  <cp:category/>
</cp:coreProperties>
</file>